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7DA74" w14:textId="3E441295" w:rsidR="007814C6" w:rsidRPr="00BA449D" w:rsidRDefault="000F73B7" w:rsidP="007814C6">
      <w:pPr>
        <w:spacing w:after="0"/>
        <w:rPr>
          <w:rFonts w:ascii="Arial" w:hAnsi="Arial" w:cs="Arial"/>
          <w:b/>
          <w:sz w:val="24"/>
          <w:szCs w:val="24"/>
        </w:rPr>
      </w:pPr>
      <w:r>
        <w:rPr>
          <w:rFonts w:ascii="Arial" w:hAnsi="Arial" w:cs="Arial"/>
          <w:b/>
          <w:sz w:val="24"/>
          <w:szCs w:val="24"/>
        </w:rPr>
        <w:t>Der</w:t>
      </w:r>
      <w:r w:rsidR="007814C6" w:rsidRPr="00BA449D">
        <w:rPr>
          <w:rFonts w:ascii="Arial" w:hAnsi="Arial" w:cs="Arial"/>
          <w:b/>
          <w:sz w:val="24"/>
          <w:szCs w:val="24"/>
        </w:rPr>
        <w:t xml:space="preserve"> meteorologische </w:t>
      </w:r>
      <w:r w:rsidR="00CF31B7">
        <w:rPr>
          <w:rFonts w:ascii="Arial" w:hAnsi="Arial" w:cs="Arial"/>
          <w:b/>
          <w:sz w:val="24"/>
          <w:szCs w:val="24"/>
        </w:rPr>
        <w:t>Winter</w:t>
      </w:r>
      <w:r w:rsidR="00A47720" w:rsidRPr="00BA449D">
        <w:rPr>
          <w:rFonts w:ascii="Arial" w:hAnsi="Arial" w:cs="Arial"/>
          <w:b/>
          <w:sz w:val="24"/>
          <w:szCs w:val="24"/>
        </w:rPr>
        <w:t xml:space="preserve"> </w:t>
      </w:r>
      <w:r w:rsidR="000A1DAE" w:rsidRPr="00BA449D">
        <w:rPr>
          <w:rFonts w:ascii="Arial" w:hAnsi="Arial" w:cs="Arial"/>
          <w:b/>
          <w:sz w:val="24"/>
          <w:szCs w:val="24"/>
        </w:rPr>
        <w:t>202</w:t>
      </w:r>
      <w:r w:rsidR="00D72113" w:rsidRPr="00BA449D">
        <w:rPr>
          <w:rFonts w:ascii="Arial" w:hAnsi="Arial" w:cs="Arial"/>
          <w:b/>
          <w:sz w:val="24"/>
          <w:szCs w:val="24"/>
        </w:rPr>
        <w:t>4</w:t>
      </w:r>
      <w:r w:rsidR="00CF31B7">
        <w:rPr>
          <w:rFonts w:ascii="Arial" w:hAnsi="Arial" w:cs="Arial"/>
          <w:b/>
          <w:sz w:val="24"/>
          <w:szCs w:val="24"/>
        </w:rPr>
        <w:t>/2025</w:t>
      </w:r>
      <w:r w:rsidR="0034613A" w:rsidRPr="00BA449D">
        <w:rPr>
          <w:rFonts w:ascii="Arial" w:hAnsi="Arial" w:cs="Arial"/>
          <w:b/>
          <w:sz w:val="24"/>
          <w:szCs w:val="24"/>
        </w:rPr>
        <w:t xml:space="preserve"> aus klimatischer Sicht und </w:t>
      </w:r>
      <w:r>
        <w:rPr>
          <w:rFonts w:ascii="Arial" w:hAnsi="Arial" w:cs="Arial"/>
          <w:b/>
          <w:sz w:val="24"/>
          <w:szCs w:val="24"/>
        </w:rPr>
        <w:t>die Bedeutung für die erneuerbaren Energien</w:t>
      </w:r>
    </w:p>
    <w:p w14:paraId="51F47971" w14:textId="3F9B55BB" w:rsidR="007814C6" w:rsidRPr="00BA449D" w:rsidRDefault="007814C6" w:rsidP="007814C6">
      <w:pPr>
        <w:spacing w:after="0"/>
        <w:rPr>
          <w:rFonts w:ascii="Arial" w:hAnsi="Arial" w:cs="Arial"/>
          <w:sz w:val="24"/>
          <w:szCs w:val="24"/>
        </w:rPr>
      </w:pPr>
      <w:r w:rsidRPr="00BA449D">
        <w:rPr>
          <w:rFonts w:ascii="Arial" w:hAnsi="Arial" w:cs="Arial"/>
          <w:sz w:val="24"/>
          <w:szCs w:val="24"/>
        </w:rPr>
        <w:t xml:space="preserve">Einordnung </w:t>
      </w:r>
      <w:r w:rsidR="00013E09" w:rsidRPr="00BA449D">
        <w:rPr>
          <w:rFonts w:ascii="Arial" w:hAnsi="Arial" w:cs="Arial"/>
          <w:sz w:val="24"/>
          <w:szCs w:val="24"/>
        </w:rPr>
        <w:t xml:space="preserve">von </w:t>
      </w:r>
      <w:r w:rsidR="0034613A" w:rsidRPr="00BA449D">
        <w:rPr>
          <w:rFonts w:ascii="Arial" w:hAnsi="Arial" w:cs="Arial"/>
          <w:sz w:val="24"/>
          <w:szCs w:val="24"/>
        </w:rPr>
        <w:t>Temperatur, Niederschlag</w:t>
      </w:r>
      <w:r w:rsidR="000B02C1">
        <w:rPr>
          <w:rFonts w:ascii="Arial" w:hAnsi="Arial" w:cs="Arial"/>
          <w:sz w:val="24"/>
          <w:szCs w:val="24"/>
        </w:rPr>
        <w:t xml:space="preserve"> und</w:t>
      </w:r>
      <w:r w:rsidR="004B23C8" w:rsidRPr="00BA449D">
        <w:rPr>
          <w:rFonts w:ascii="Arial" w:hAnsi="Arial" w:cs="Arial"/>
          <w:sz w:val="24"/>
          <w:szCs w:val="24"/>
        </w:rPr>
        <w:t xml:space="preserve"> </w:t>
      </w:r>
      <w:r w:rsidRPr="00BA449D">
        <w:rPr>
          <w:rFonts w:ascii="Arial" w:hAnsi="Arial" w:cs="Arial"/>
          <w:sz w:val="24"/>
          <w:szCs w:val="24"/>
        </w:rPr>
        <w:t>Sonnenschein</w:t>
      </w:r>
      <w:r w:rsidR="006B5C35">
        <w:rPr>
          <w:rFonts w:ascii="Arial" w:hAnsi="Arial" w:cs="Arial"/>
          <w:sz w:val="24"/>
          <w:szCs w:val="24"/>
        </w:rPr>
        <w:t>dauer</w:t>
      </w:r>
      <w:r w:rsidR="00CA501C">
        <w:rPr>
          <w:rFonts w:ascii="Arial" w:hAnsi="Arial" w:cs="Arial"/>
          <w:sz w:val="24"/>
          <w:szCs w:val="24"/>
        </w:rPr>
        <w:t xml:space="preserve"> sowie ein Überblick zur Auslastung erneuerbarer Energien</w:t>
      </w:r>
      <w:r w:rsidR="00AD536B">
        <w:rPr>
          <w:rFonts w:ascii="Arial" w:hAnsi="Arial" w:cs="Arial"/>
          <w:sz w:val="24"/>
          <w:szCs w:val="24"/>
        </w:rPr>
        <w:t>-Anlagen</w:t>
      </w:r>
    </w:p>
    <w:p w14:paraId="2AE3D412" w14:textId="77777777" w:rsidR="007814C6" w:rsidRPr="00BA449D" w:rsidRDefault="007814C6" w:rsidP="007814C6">
      <w:pPr>
        <w:spacing w:after="0"/>
        <w:rPr>
          <w:rFonts w:ascii="Arial" w:hAnsi="Arial" w:cs="Arial"/>
          <w:sz w:val="24"/>
          <w:szCs w:val="24"/>
        </w:rPr>
      </w:pPr>
    </w:p>
    <w:p w14:paraId="2C3F4017" w14:textId="35500A27" w:rsidR="000F70C1" w:rsidRDefault="00D056A2" w:rsidP="00CA501C">
      <w:pPr>
        <w:spacing w:after="0"/>
        <w:rPr>
          <w:rFonts w:ascii="Arial" w:hAnsi="Arial" w:cs="Arial"/>
          <w:sz w:val="24"/>
          <w:szCs w:val="24"/>
        </w:rPr>
      </w:pPr>
      <w:r>
        <w:rPr>
          <w:rFonts w:ascii="Arial" w:hAnsi="Arial" w:cs="Arial"/>
          <w:sz w:val="24"/>
          <w:szCs w:val="24"/>
        </w:rPr>
        <w:t xml:space="preserve">Der </w:t>
      </w:r>
      <w:r w:rsidR="00CF31B7">
        <w:rPr>
          <w:rFonts w:ascii="Arial" w:hAnsi="Arial" w:cs="Arial"/>
          <w:sz w:val="24"/>
          <w:szCs w:val="24"/>
        </w:rPr>
        <w:t>Winter</w:t>
      </w:r>
      <w:r w:rsidR="0071183C" w:rsidRPr="00BA449D">
        <w:rPr>
          <w:rFonts w:ascii="Arial" w:hAnsi="Arial" w:cs="Arial"/>
          <w:sz w:val="24"/>
          <w:szCs w:val="24"/>
        </w:rPr>
        <w:t xml:space="preserve"> 202</w:t>
      </w:r>
      <w:r w:rsidR="00AE4217" w:rsidRPr="00BA449D">
        <w:rPr>
          <w:rFonts w:ascii="Arial" w:hAnsi="Arial" w:cs="Arial"/>
          <w:sz w:val="24"/>
          <w:szCs w:val="24"/>
        </w:rPr>
        <w:t>4</w:t>
      </w:r>
      <w:r w:rsidR="00CF31B7">
        <w:rPr>
          <w:rFonts w:ascii="Arial" w:hAnsi="Arial" w:cs="Arial"/>
          <w:sz w:val="24"/>
          <w:szCs w:val="24"/>
        </w:rPr>
        <w:t>/2025</w:t>
      </w:r>
      <w:r w:rsidR="007814C6" w:rsidRPr="00BA449D">
        <w:rPr>
          <w:rFonts w:ascii="Arial" w:hAnsi="Arial" w:cs="Arial"/>
          <w:sz w:val="24"/>
          <w:szCs w:val="24"/>
        </w:rPr>
        <w:t xml:space="preserve"> war </w:t>
      </w:r>
      <w:r w:rsidR="0081045C" w:rsidRPr="00BA449D">
        <w:rPr>
          <w:rFonts w:ascii="Arial" w:hAnsi="Arial" w:cs="Arial"/>
          <w:sz w:val="24"/>
          <w:szCs w:val="24"/>
        </w:rPr>
        <w:t>in Sachsen-Anhalt</w:t>
      </w:r>
      <w:r w:rsidR="002242F3" w:rsidRPr="00BA449D">
        <w:rPr>
          <w:rFonts w:ascii="Arial" w:hAnsi="Arial" w:cs="Arial"/>
          <w:sz w:val="24"/>
          <w:szCs w:val="24"/>
        </w:rPr>
        <w:t xml:space="preserve"> </w:t>
      </w:r>
      <w:r w:rsidR="00DD0D4A">
        <w:rPr>
          <w:rFonts w:ascii="Arial" w:hAnsi="Arial" w:cs="Arial"/>
          <w:sz w:val="24"/>
          <w:szCs w:val="24"/>
        </w:rPr>
        <w:t xml:space="preserve">erneut </w:t>
      </w:r>
      <w:r w:rsidR="00CA501C">
        <w:rPr>
          <w:rFonts w:ascii="Arial" w:hAnsi="Arial" w:cs="Arial"/>
          <w:sz w:val="24"/>
          <w:szCs w:val="24"/>
        </w:rPr>
        <w:t>zu warm</w:t>
      </w:r>
      <w:r w:rsidR="0065556E">
        <w:rPr>
          <w:rFonts w:ascii="Arial" w:hAnsi="Arial" w:cs="Arial"/>
          <w:sz w:val="24"/>
          <w:szCs w:val="24"/>
        </w:rPr>
        <w:t xml:space="preserve">, brachte aber zwei kurze winterliche Phasen. </w:t>
      </w:r>
      <w:r w:rsidR="00D2767E">
        <w:rPr>
          <w:rFonts w:ascii="Arial" w:hAnsi="Arial" w:cs="Arial"/>
          <w:sz w:val="24"/>
          <w:szCs w:val="24"/>
        </w:rPr>
        <w:t>Er war</w:t>
      </w:r>
      <w:r w:rsidR="00CA501C">
        <w:rPr>
          <w:rFonts w:ascii="Arial" w:hAnsi="Arial" w:cs="Arial"/>
          <w:sz w:val="24"/>
          <w:szCs w:val="24"/>
        </w:rPr>
        <w:t xml:space="preserve"> sonnenscheinreich</w:t>
      </w:r>
      <w:r w:rsidR="000F73B7">
        <w:rPr>
          <w:rFonts w:ascii="Arial" w:hAnsi="Arial" w:cs="Arial"/>
          <w:sz w:val="24"/>
          <w:szCs w:val="24"/>
        </w:rPr>
        <w:t xml:space="preserve">er </w:t>
      </w:r>
      <w:r w:rsidR="00D2767E">
        <w:rPr>
          <w:rFonts w:ascii="Arial" w:hAnsi="Arial" w:cs="Arial"/>
          <w:sz w:val="24"/>
          <w:szCs w:val="24"/>
        </w:rPr>
        <w:t xml:space="preserve">und </w:t>
      </w:r>
      <w:r w:rsidR="00DD0D4A">
        <w:rPr>
          <w:rFonts w:ascii="Arial" w:hAnsi="Arial" w:cs="Arial"/>
          <w:sz w:val="24"/>
          <w:szCs w:val="24"/>
        </w:rPr>
        <w:t>trockener</w:t>
      </w:r>
      <w:r w:rsidR="00D2767E">
        <w:rPr>
          <w:rFonts w:ascii="Arial" w:hAnsi="Arial" w:cs="Arial"/>
          <w:sz w:val="24"/>
          <w:szCs w:val="24"/>
        </w:rPr>
        <w:t xml:space="preserve"> </w:t>
      </w:r>
      <w:r w:rsidR="00841C48">
        <w:rPr>
          <w:rFonts w:ascii="Arial" w:hAnsi="Arial" w:cs="Arial"/>
          <w:sz w:val="24"/>
          <w:szCs w:val="24"/>
        </w:rPr>
        <w:t>als im Durchschnitt</w:t>
      </w:r>
      <w:r w:rsidR="00CA501C">
        <w:rPr>
          <w:rFonts w:ascii="Arial" w:hAnsi="Arial" w:cs="Arial"/>
          <w:sz w:val="24"/>
          <w:szCs w:val="24"/>
        </w:rPr>
        <w:t xml:space="preserve">. </w:t>
      </w:r>
    </w:p>
    <w:p w14:paraId="485C6887" w14:textId="38C040FA" w:rsidR="007814C6" w:rsidRPr="00BA449D" w:rsidRDefault="0065556E" w:rsidP="00CA501C">
      <w:pPr>
        <w:spacing w:after="0"/>
        <w:rPr>
          <w:rFonts w:ascii="Arial" w:hAnsi="Arial" w:cs="Arial"/>
          <w:sz w:val="24"/>
          <w:szCs w:val="24"/>
        </w:rPr>
      </w:pPr>
      <w:r>
        <w:rPr>
          <w:rFonts w:ascii="Arial" w:hAnsi="Arial" w:cs="Arial"/>
          <w:sz w:val="24"/>
          <w:szCs w:val="24"/>
        </w:rPr>
        <w:t>Die dominierenden Hochdruckgebiete sorgten im vergangenen Winter für eine</w:t>
      </w:r>
      <w:r w:rsidR="00E373E2">
        <w:rPr>
          <w:rFonts w:ascii="Arial" w:hAnsi="Arial" w:cs="Arial"/>
          <w:sz w:val="24"/>
          <w:szCs w:val="24"/>
        </w:rPr>
        <w:t>n</w:t>
      </w:r>
      <w:r>
        <w:rPr>
          <w:rFonts w:ascii="Arial" w:hAnsi="Arial" w:cs="Arial"/>
          <w:sz w:val="24"/>
          <w:szCs w:val="24"/>
        </w:rPr>
        <w:t xml:space="preserve"> ausreichenden Ertrag bei den Photovoltaikanlagen, insbesondere der Februar zeichnete sich durch überdurchschnittliche Erträge aus. Im Gegensatz dazu gab es weniger Wind und entsprechend unterdurchschnittliche Erträge aus der Windenergie.</w:t>
      </w:r>
    </w:p>
    <w:p w14:paraId="1C22CD13" w14:textId="77777777" w:rsidR="007814C6" w:rsidRPr="00BA449D" w:rsidRDefault="007814C6" w:rsidP="007814C6">
      <w:pPr>
        <w:spacing w:after="0"/>
        <w:rPr>
          <w:rFonts w:ascii="Arial" w:hAnsi="Arial" w:cs="Arial"/>
          <w:sz w:val="24"/>
          <w:szCs w:val="24"/>
        </w:rPr>
      </w:pPr>
    </w:p>
    <w:p w14:paraId="7E222286" w14:textId="2DCBE971" w:rsidR="00B8462F" w:rsidRPr="00BA449D" w:rsidRDefault="00CF31B7" w:rsidP="007814C6">
      <w:pPr>
        <w:spacing w:after="0"/>
        <w:rPr>
          <w:rFonts w:ascii="Arial" w:hAnsi="Arial" w:cs="Arial"/>
          <w:b/>
          <w:sz w:val="24"/>
          <w:szCs w:val="24"/>
        </w:rPr>
      </w:pPr>
      <w:r>
        <w:rPr>
          <w:rFonts w:ascii="Arial" w:hAnsi="Arial" w:cs="Arial"/>
          <w:b/>
          <w:sz w:val="24"/>
          <w:szCs w:val="24"/>
        </w:rPr>
        <w:t>Dez</w:t>
      </w:r>
      <w:r w:rsidR="00274215">
        <w:rPr>
          <w:rFonts w:ascii="Arial" w:hAnsi="Arial" w:cs="Arial"/>
          <w:b/>
          <w:sz w:val="24"/>
          <w:szCs w:val="24"/>
        </w:rPr>
        <w:t>ember</w:t>
      </w:r>
    </w:p>
    <w:p w14:paraId="7C80E289" w14:textId="42897D07" w:rsidR="00DD0D4A" w:rsidRDefault="00DD0D4A" w:rsidP="00440C63">
      <w:pPr>
        <w:spacing w:after="0"/>
        <w:rPr>
          <w:rFonts w:ascii="Arial" w:hAnsi="Arial" w:cs="Arial"/>
          <w:sz w:val="24"/>
          <w:szCs w:val="24"/>
        </w:rPr>
      </w:pPr>
      <w:r>
        <w:rPr>
          <w:rFonts w:ascii="Arial" w:hAnsi="Arial" w:cs="Arial"/>
          <w:sz w:val="24"/>
          <w:szCs w:val="24"/>
        </w:rPr>
        <w:t>Häufige Hochdruckgebiete gestalteten den Dezember relativ ruhig. Tiefdruckphasen mit sehr milder Luft beschränkten sich auf die erste Dezemberwoche und die Tage vom 15.12. bis 22.12</w:t>
      </w:r>
      <w:r w:rsidR="001635DB">
        <w:rPr>
          <w:rFonts w:ascii="Arial" w:hAnsi="Arial" w:cs="Arial"/>
          <w:sz w:val="24"/>
          <w:szCs w:val="24"/>
        </w:rPr>
        <w:t>.</w:t>
      </w:r>
      <w:r w:rsidR="00E373E2">
        <w:rPr>
          <w:rFonts w:ascii="Arial" w:hAnsi="Arial" w:cs="Arial"/>
          <w:sz w:val="24"/>
          <w:szCs w:val="24"/>
        </w:rPr>
        <w:t>.</w:t>
      </w:r>
      <w:r>
        <w:rPr>
          <w:rFonts w:ascii="Arial" w:hAnsi="Arial" w:cs="Arial"/>
          <w:sz w:val="24"/>
          <w:szCs w:val="24"/>
        </w:rPr>
        <w:t xml:space="preserve"> Sonst blieb es unter Hochdruckeinfluss auch häufig trocken mit Nebel oder Sonne, dabei </w:t>
      </w:r>
      <w:r w:rsidR="005870D0">
        <w:rPr>
          <w:rFonts w:ascii="Arial" w:hAnsi="Arial" w:cs="Arial"/>
          <w:sz w:val="24"/>
          <w:szCs w:val="24"/>
        </w:rPr>
        <w:t>war</w:t>
      </w:r>
      <w:r>
        <w:rPr>
          <w:rFonts w:ascii="Arial" w:hAnsi="Arial" w:cs="Arial"/>
          <w:sz w:val="24"/>
          <w:szCs w:val="24"/>
        </w:rPr>
        <w:t xml:space="preserve"> es durchweg mild. In der Folge betrug die </w:t>
      </w:r>
      <w:r w:rsidR="005C783C">
        <w:rPr>
          <w:rFonts w:ascii="Arial" w:hAnsi="Arial" w:cs="Arial"/>
          <w:sz w:val="24"/>
          <w:szCs w:val="24"/>
        </w:rPr>
        <w:t xml:space="preserve">Monatsmitteltemperatur in Sachsen-Anhalt </w:t>
      </w:r>
      <w:r w:rsidR="00CF31B7">
        <w:rPr>
          <w:rFonts w:ascii="Arial" w:hAnsi="Arial" w:cs="Arial"/>
          <w:sz w:val="24"/>
          <w:szCs w:val="24"/>
        </w:rPr>
        <w:t>3,7</w:t>
      </w:r>
      <w:r w:rsidR="005C783C">
        <w:rPr>
          <w:rFonts w:ascii="Arial" w:hAnsi="Arial" w:cs="Arial"/>
          <w:sz w:val="24"/>
          <w:szCs w:val="24"/>
        </w:rPr>
        <w:t xml:space="preserve"> °C </w:t>
      </w:r>
      <w:r>
        <w:rPr>
          <w:rFonts w:ascii="Arial" w:hAnsi="Arial" w:cs="Arial"/>
          <w:sz w:val="24"/>
          <w:szCs w:val="24"/>
        </w:rPr>
        <w:t xml:space="preserve">und lag damit </w:t>
      </w:r>
      <w:r w:rsidR="005C783C">
        <w:rPr>
          <w:rFonts w:ascii="Arial" w:hAnsi="Arial" w:cs="Arial"/>
          <w:sz w:val="24"/>
          <w:szCs w:val="24"/>
        </w:rPr>
        <w:t xml:space="preserve">um </w:t>
      </w:r>
      <w:r w:rsidR="00CF31B7">
        <w:rPr>
          <w:rFonts w:ascii="Arial" w:hAnsi="Arial" w:cs="Arial"/>
          <w:sz w:val="24"/>
          <w:szCs w:val="24"/>
        </w:rPr>
        <w:t>2,6</w:t>
      </w:r>
      <w:r w:rsidR="005C783C">
        <w:rPr>
          <w:rFonts w:ascii="Arial" w:hAnsi="Arial" w:cs="Arial"/>
          <w:sz w:val="24"/>
          <w:szCs w:val="24"/>
        </w:rPr>
        <w:t xml:space="preserve"> K </w:t>
      </w:r>
      <w:r>
        <w:rPr>
          <w:rFonts w:ascii="Arial" w:hAnsi="Arial" w:cs="Arial"/>
          <w:sz w:val="24"/>
          <w:szCs w:val="24"/>
        </w:rPr>
        <w:t>über dem</w:t>
      </w:r>
      <w:r w:rsidR="005C783C">
        <w:rPr>
          <w:rFonts w:ascii="Arial" w:hAnsi="Arial" w:cs="Arial"/>
          <w:sz w:val="24"/>
          <w:szCs w:val="24"/>
        </w:rPr>
        <w:t xml:space="preserve"> Mittel der Referenzperiode von 1961 bis 1990. Auch im Vergleich zum 30-jährigen Mittel von 1991 bis 2020 war der Monat um </w:t>
      </w:r>
      <w:r w:rsidR="00CF31B7">
        <w:rPr>
          <w:rFonts w:ascii="Arial" w:hAnsi="Arial" w:cs="Arial"/>
          <w:sz w:val="24"/>
          <w:szCs w:val="24"/>
        </w:rPr>
        <w:t>1,6</w:t>
      </w:r>
      <w:r w:rsidR="005C783C">
        <w:rPr>
          <w:rFonts w:ascii="Arial" w:hAnsi="Arial" w:cs="Arial"/>
          <w:sz w:val="24"/>
          <w:szCs w:val="24"/>
        </w:rPr>
        <w:t> K zu warm.</w:t>
      </w:r>
      <w:r w:rsidR="00B6263D">
        <w:rPr>
          <w:rFonts w:ascii="Arial" w:hAnsi="Arial" w:cs="Arial"/>
          <w:sz w:val="24"/>
          <w:szCs w:val="24"/>
        </w:rPr>
        <w:t xml:space="preserve"> </w:t>
      </w:r>
      <w:r>
        <w:rPr>
          <w:rFonts w:ascii="Arial" w:hAnsi="Arial" w:cs="Arial"/>
          <w:sz w:val="24"/>
          <w:szCs w:val="24"/>
        </w:rPr>
        <w:t xml:space="preserve">Besonders mild war es dabei am 18.12. in Wernigerode mit 14,5 °C und am 19.12. in Magdeburg mit 14,4 °C. </w:t>
      </w:r>
    </w:p>
    <w:p w14:paraId="0CF016D8" w14:textId="77777777" w:rsidR="009B0771" w:rsidRPr="00BA449D" w:rsidRDefault="009B0771" w:rsidP="009B0771">
      <w:pPr>
        <w:spacing w:after="0"/>
        <w:rPr>
          <w:rFonts w:ascii="Arial" w:hAnsi="Arial" w:cs="Arial"/>
          <w:sz w:val="24"/>
          <w:szCs w:val="24"/>
        </w:rPr>
      </w:pPr>
    </w:p>
    <w:p w14:paraId="70C930A2" w14:textId="48F98B4C" w:rsidR="00606AF5" w:rsidRDefault="00606AF5" w:rsidP="009B0771">
      <w:pPr>
        <w:spacing w:after="0"/>
        <w:rPr>
          <w:rFonts w:ascii="Arial" w:hAnsi="Arial" w:cs="Arial"/>
          <w:sz w:val="24"/>
          <w:szCs w:val="24"/>
        </w:rPr>
      </w:pPr>
      <w:r>
        <w:rPr>
          <w:rFonts w:ascii="Arial" w:hAnsi="Arial" w:cs="Arial"/>
          <w:sz w:val="24"/>
          <w:szCs w:val="24"/>
        </w:rPr>
        <w:t xml:space="preserve">Durch den wiederholten Hochdruckeinfluss blieb der Niederschlag im Dezember in </w:t>
      </w:r>
      <w:r w:rsidR="00CE0F1C">
        <w:rPr>
          <w:rFonts w:ascii="Arial" w:hAnsi="Arial" w:cs="Arial"/>
          <w:sz w:val="24"/>
          <w:szCs w:val="24"/>
        </w:rPr>
        <w:t xml:space="preserve">Sachsen-Anhalt </w:t>
      </w:r>
      <w:r>
        <w:rPr>
          <w:rFonts w:ascii="Arial" w:hAnsi="Arial" w:cs="Arial"/>
          <w:sz w:val="24"/>
          <w:szCs w:val="24"/>
        </w:rPr>
        <w:t xml:space="preserve">mit </w:t>
      </w:r>
      <w:r w:rsidR="00CF31B7">
        <w:rPr>
          <w:rFonts w:ascii="Arial" w:hAnsi="Arial" w:cs="Arial"/>
          <w:sz w:val="24"/>
          <w:szCs w:val="24"/>
        </w:rPr>
        <w:t>37,0</w:t>
      </w:r>
      <w:r w:rsidR="00CE0F1C">
        <w:rPr>
          <w:rFonts w:ascii="Arial" w:hAnsi="Arial" w:cs="Arial"/>
          <w:sz w:val="24"/>
          <w:szCs w:val="24"/>
        </w:rPr>
        <w:t xml:space="preserve"> mm </w:t>
      </w:r>
      <w:r>
        <w:rPr>
          <w:rFonts w:ascii="Arial" w:hAnsi="Arial" w:cs="Arial"/>
          <w:sz w:val="24"/>
          <w:szCs w:val="24"/>
        </w:rPr>
        <w:t>hinter den langjährigen Mittelwerten zurück</w:t>
      </w:r>
      <w:r w:rsidR="00CE0F1C">
        <w:rPr>
          <w:rFonts w:ascii="Arial" w:hAnsi="Arial" w:cs="Arial"/>
          <w:sz w:val="24"/>
          <w:szCs w:val="24"/>
        </w:rPr>
        <w:t xml:space="preserve">. </w:t>
      </w:r>
      <w:r w:rsidR="00696A48">
        <w:rPr>
          <w:rFonts w:ascii="Arial" w:hAnsi="Arial" w:cs="Arial"/>
          <w:sz w:val="24"/>
          <w:szCs w:val="24"/>
        </w:rPr>
        <w:t xml:space="preserve">Somit konnten </w:t>
      </w:r>
      <w:r w:rsidR="00990276">
        <w:rPr>
          <w:rFonts w:ascii="Arial" w:hAnsi="Arial" w:cs="Arial"/>
          <w:sz w:val="24"/>
          <w:szCs w:val="24"/>
        </w:rPr>
        <w:t>79,3</w:t>
      </w:r>
      <w:r w:rsidR="00696A48">
        <w:rPr>
          <w:rFonts w:ascii="Arial" w:hAnsi="Arial" w:cs="Arial"/>
          <w:sz w:val="24"/>
          <w:szCs w:val="24"/>
        </w:rPr>
        <w:t xml:space="preserve"> % im Vergleich zur Referenzperiode von 1961 bis 1990 erreicht werden, </w:t>
      </w:r>
      <w:r w:rsidR="002E6E0F">
        <w:rPr>
          <w:rFonts w:ascii="Arial" w:hAnsi="Arial" w:cs="Arial"/>
          <w:sz w:val="24"/>
          <w:szCs w:val="24"/>
        </w:rPr>
        <w:t>i</w:t>
      </w:r>
      <w:r w:rsidR="00696A48">
        <w:rPr>
          <w:rFonts w:ascii="Arial" w:hAnsi="Arial" w:cs="Arial"/>
          <w:sz w:val="24"/>
          <w:szCs w:val="24"/>
        </w:rPr>
        <w:t xml:space="preserve">m Bezug zum 30-jährigen Klimamittel von 1991 bis 2020 wurden </w:t>
      </w:r>
      <w:r w:rsidR="00990276">
        <w:rPr>
          <w:rFonts w:ascii="Arial" w:hAnsi="Arial" w:cs="Arial"/>
          <w:sz w:val="24"/>
          <w:szCs w:val="24"/>
        </w:rPr>
        <w:t>80,3</w:t>
      </w:r>
      <w:r w:rsidR="00696A48">
        <w:rPr>
          <w:rFonts w:ascii="Arial" w:hAnsi="Arial" w:cs="Arial"/>
          <w:sz w:val="24"/>
          <w:szCs w:val="24"/>
        </w:rPr>
        <w:t xml:space="preserve"> % gemessen. Dabei </w:t>
      </w:r>
      <w:r>
        <w:rPr>
          <w:rFonts w:ascii="Arial" w:hAnsi="Arial" w:cs="Arial"/>
          <w:sz w:val="24"/>
          <w:szCs w:val="24"/>
        </w:rPr>
        <w:t xml:space="preserve">war es gerade in der Südhälfte des Landes besonders trocken, so gab es beispielsweise in </w:t>
      </w:r>
      <w:r w:rsidR="002533C7">
        <w:rPr>
          <w:rFonts w:ascii="Arial" w:hAnsi="Arial" w:cs="Arial"/>
          <w:sz w:val="24"/>
          <w:szCs w:val="24"/>
        </w:rPr>
        <w:t>Wettin</w:t>
      </w:r>
      <w:r>
        <w:rPr>
          <w:rFonts w:ascii="Arial" w:hAnsi="Arial" w:cs="Arial"/>
          <w:sz w:val="24"/>
          <w:szCs w:val="24"/>
        </w:rPr>
        <w:t xml:space="preserve">-Löbejün-Neutz gerade einmal 20,2 mm Niederschlag und in Bad Lauchstädt 21,4 mm. Dagegen haben in der Börde und </w:t>
      </w:r>
      <w:r w:rsidR="004E3198">
        <w:rPr>
          <w:rFonts w:ascii="Arial" w:hAnsi="Arial" w:cs="Arial"/>
          <w:sz w:val="24"/>
          <w:szCs w:val="24"/>
        </w:rPr>
        <w:t xml:space="preserve">in </w:t>
      </w:r>
      <w:r>
        <w:rPr>
          <w:rFonts w:ascii="Arial" w:hAnsi="Arial" w:cs="Arial"/>
          <w:sz w:val="24"/>
          <w:szCs w:val="24"/>
        </w:rPr>
        <w:t>der Altmark einige Stationen sogar mehr Niederschlag als im langjährigen Mittel registriert.</w:t>
      </w:r>
    </w:p>
    <w:p w14:paraId="7C687902" w14:textId="77777777" w:rsidR="009B0771" w:rsidRPr="00BA449D" w:rsidRDefault="009B0771" w:rsidP="009B0771">
      <w:pPr>
        <w:spacing w:after="0"/>
        <w:rPr>
          <w:rFonts w:ascii="Arial" w:hAnsi="Arial" w:cs="Arial"/>
          <w:sz w:val="24"/>
          <w:szCs w:val="24"/>
        </w:rPr>
      </w:pPr>
    </w:p>
    <w:p w14:paraId="67ED18F2" w14:textId="476DA61F" w:rsidR="00E96AE8" w:rsidRDefault="009B0771" w:rsidP="0069365A">
      <w:pPr>
        <w:spacing w:after="0"/>
        <w:rPr>
          <w:rFonts w:ascii="Arial" w:hAnsi="Arial" w:cs="Arial"/>
          <w:sz w:val="24"/>
          <w:szCs w:val="24"/>
        </w:rPr>
      </w:pPr>
      <w:r w:rsidRPr="00BA449D">
        <w:rPr>
          <w:rFonts w:ascii="Arial" w:hAnsi="Arial" w:cs="Arial"/>
          <w:sz w:val="24"/>
          <w:szCs w:val="24"/>
        </w:rPr>
        <w:t xml:space="preserve">Mit </w:t>
      </w:r>
      <w:r w:rsidR="00990276">
        <w:rPr>
          <w:rFonts w:ascii="Arial" w:hAnsi="Arial" w:cs="Arial"/>
          <w:sz w:val="24"/>
          <w:szCs w:val="24"/>
        </w:rPr>
        <w:t>37,9</w:t>
      </w:r>
      <w:r w:rsidRPr="00BA449D">
        <w:rPr>
          <w:rFonts w:ascii="Arial" w:hAnsi="Arial" w:cs="Arial"/>
          <w:sz w:val="24"/>
          <w:szCs w:val="24"/>
        </w:rPr>
        <w:t xml:space="preserve"> Sonnenstunden erreichte der</w:t>
      </w:r>
      <w:r w:rsidR="008C0DDD">
        <w:rPr>
          <w:rFonts w:ascii="Arial" w:hAnsi="Arial" w:cs="Arial"/>
          <w:sz w:val="24"/>
          <w:szCs w:val="24"/>
        </w:rPr>
        <w:t xml:space="preserve"> </w:t>
      </w:r>
      <w:r w:rsidR="004E3198">
        <w:rPr>
          <w:rFonts w:ascii="Arial" w:hAnsi="Arial" w:cs="Arial"/>
          <w:sz w:val="24"/>
          <w:szCs w:val="24"/>
        </w:rPr>
        <w:t>Dezember</w:t>
      </w:r>
      <w:r w:rsidR="004E3198" w:rsidRPr="00BA449D">
        <w:rPr>
          <w:rFonts w:ascii="Arial" w:hAnsi="Arial" w:cs="Arial"/>
          <w:sz w:val="24"/>
          <w:szCs w:val="24"/>
        </w:rPr>
        <w:t xml:space="preserve"> </w:t>
      </w:r>
      <w:r w:rsidRPr="00BA449D">
        <w:rPr>
          <w:rFonts w:ascii="Arial" w:hAnsi="Arial" w:cs="Arial"/>
          <w:sz w:val="24"/>
          <w:szCs w:val="24"/>
        </w:rPr>
        <w:t xml:space="preserve">2024 in Sachsen-Anhalt </w:t>
      </w:r>
      <w:r w:rsidR="00990276">
        <w:rPr>
          <w:rFonts w:ascii="Arial" w:hAnsi="Arial" w:cs="Arial"/>
          <w:sz w:val="24"/>
          <w:szCs w:val="24"/>
        </w:rPr>
        <w:t>106,5</w:t>
      </w:r>
      <w:r w:rsidR="009C604B">
        <w:rPr>
          <w:rFonts w:ascii="Arial" w:hAnsi="Arial" w:cs="Arial"/>
          <w:sz w:val="24"/>
          <w:szCs w:val="24"/>
        </w:rPr>
        <w:t> % der Klimareferenzperiode</w:t>
      </w:r>
      <w:r w:rsidRPr="00BA449D">
        <w:rPr>
          <w:rFonts w:ascii="Arial" w:hAnsi="Arial" w:cs="Arial"/>
          <w:sz w:val="24"/>
          <w:szCs w:val="24"/>
        </w:rPr>
        <w:t xml:space="preserve"> 1961 bis 1990 und </w:t>
      </w:r>
      <w:r w:rsidR="00990276">
        <w:rPr>
          <w:rFonts w:ascii="Arial" w:hAnsi="Arial" w:cs="Arial"/>
          <w:sz w:val="24"/>
          <w:szCs w:val="24"/>
        </w:rPr>
        <w:t>87,3</w:t>
      </w:r>
      <w:r w:rsidRPr="00BA449D">
        <w:rPr>
          <w:rFonts w:ascii="Arial" w:hAnsi="Arial" w:cs="Arial"/>
          <w:sz w:val="24"/>
          <w:szCs w:val="24"/>
        </w:rPr>
        <w:t xml:space="preserve"> % zum 30-jährigen Mittel von 1991 bis 2020. </w:t>
      </w:r>
    </w:p>
    <w:p w14:paraId="00C26BE8" w14:textId="77777777" w:rsidR="00606AF5" w:rsidRPr="00BA449D" w:rsidRDefault="00606AF5" w:rsidP="0069365A">
      <w:pPr>
        <w:spacing w:after="0"/>
        <w:rPr>
          <w:rFonts w:ascii="Arial" w:hAnsi="Arial" w:cs="Arial"/>
          <w:sz w:val="24"/>
          <w:szCs w:val="24"/>
        </w:rPr>
      </w:pPr>
    </w:p>
    <w:p w14:paraId="37A4EC44" w14:textId="197DF208" w:rsidR="005C07DF" w:rsidRPr="00BA449D" w:rsidRDefault="00CF31B7" w:rsidP="007814C6">
      <w:pPr>
        <w:spacing w:after="0"/>
        <w:rPr>
          <w:rFonts w:ascii="Arial" w:hAnsi="Arial" w:cs="Arial"/>
          <w:b/>
          <w:sz w:val="24"/>
          <w:szCs w:val="24"/>
        </w:rPr>
      </w:pPr>
      <w:r>
        <w:rPr>
          <w:rFonts w:ascii="Arial" w:hAnsi="Arial" w:cs="Arial"/>
          <w:b/>
          <w:sz w:val="24"/>
          <w:szCs w:val="24"/>
        </w:rPr>
        <w:t>Januar</w:t>
      </w:r>
    </w:p>
    <w:p w14:paraId="4D08BAEE" w14:textId="77777777" w:rsidR="00927BBB" w:rsidRDefault="00927BBB" w:rsidP="007814C6">
      <w:pPr>
        <w:spacing w:after="0"/>
        <w:rPr>
          <w:rFonts w:ascii="Arial" w:hAnsi="Arial" w:cs="Arial"/>
          <w:sz w:val="24"/>
          <w:szCs w:val="24"/>
        </w:rPr>
      </w:pPr>
    </w:p>
    <w:p w14:paraId="18E881D5" w14:textId="52B5CA29" w:rsidR="00837480" w:rsidRPr="00BA449D" w:rsidRDefault="003A64B7" w:rsidP="007814C6">
      <w:pPr>
        <w:spacing w:after="0"/>
        <w:rPr>
          <w:rFonts w:ascii="Arial" w:hAnsi="Arial" w:cs="Arial"/>
          <w:sz w:val="24"/>
          <w:szCs w:val="24"/>
        </w:rPr>
      </w:pPr>
      <w:r>
        <w:rPr>
          <w:rFonts w:ascii="Arial" w:hAnsi="Arial" w:cs="Arial"/>
          <w:sz w:val="24"/>
          <w:szCs w:val="24"/>
        </w:rPr>
        <w:t>D</w:t>
      </w:r>
      <w:r w:rsidR="00B849AB">
        <w:rPr>
          <w:rFonts w:ascii="Arial" w:hAnsi="Arial" w:cs="Arial"/>
          <w:sz w:val="24"/>
          <w:szCs w:val="24"/>
        </w:rPr>
        <w:t xml:space="preserve">er Januar 2025 zeigte sich sehr wechselhaft </w:t>
      </w:r>
      <w:r w:rsidR="000970AA">
        <w:rPr>
          <w:rFonts w:ascii="Arial" w:hAnsi="Arial" w:cs="Arial"/>
          <w:sz w:val="24"/>
          <w:szCs w:val="24"/>
        </w:rPr>
        <w:t xml:space="preserve">und mild </w:t>
      </w:r>
      <w:r w:rsidR="00B849AB">
        <w:rPr>
          <w:rFonts w:ascii="Arial" w:hAnsi="Arial" w:cs="Arial"/>
          <w:sz w:val="24"/>
          <w:szCs w:val="24"/>
        </w:rPr>
        <w:t xml:space="preserve">im ersten und letzten Monatsdrittel, während </w:t>
      </w:r>
      <w:r w:rsidR="004E3198">
        <w:rPr>
          <w:rFonts w:ascii="Arial" w:hAnsi="Arial" w:cs="Arial"/>
          <w:sz w:val="24"/>
          <w:szCs w:val="24"/>
        </w:rPr>
        <w:t xml:space="preserve">er </w:t>
      </w:r>
      <w:r w:rsidR="000970AA">
        <w:rPr>
          <w:rFonts w:ascii="Arial" w:hAnsi="Arial" w:cs="Arial"/>
          <w:sz w:val="24"/>
          <w:szCs w:val="24"/>
        </w:rPr>
        <w:t xml:space="preserve">sich </w:t>
      </w:r>
      <w:r w:rsidR="00B849AB">
        <w:rPr>
          <w:rFonts w:ascii="Arial" w:hAnsi="Arial" w:cs="Arial"/>
          <w:sz w:val="24"/>
          <w:szCs w:val="24"/>
        </w:rPr>
        <w:t>um die Monatsmitte dank eines Hochdruckgebietes und einer dünnen Schneedecke</w:t>
      </w:r>
      <w:r w:rsidR="000970AA">
        <w:rPr>
          <w:rFonts w:ascii="Arial" w:hAnsi="Arial" w:cs="Arial"/>
          <w:sz w:val="24"/>
          <w:szCs w:val="24"/>
        </w:rPr>
        <w:t xml:space="preserve"> von seiner winterlichen Seite zeigte.</w:t>
      </w:r>
      <w:r w:rsidR="004D5492">
        <w:rPr>
          <w:rFonts w:ascii="Arial" w:hAnsi="Arial" w:cs="Arial"/>
          <w:sz w:val="24"/>
          <w:szCs w:val="24"/>
        </w:rPr>
        <w:t xml:space="preserve"> </w:t>
      </w:r>
      <w:r w:rsidR="000970AA">
        <w:rPr>
          <w:rFonts w:ascii="Arial" w:hAnsi="Arial" w:cs="Arial"/>
          <w:sz w:val="24"/>
          <w:szCs w:val="24"/>
        </w:rPr>
        <w:t>Insgesamt erreicht</w:t>
      </w:r>
      <w:r w:rsidR="00713B67">
        <w:rPr>
          <w:rFonts w:ascii="Arial" w:hAnsi="Arial" w:cs="Arial"/>
          <w:sz w:val="24"/>
          <w:szCs w:val="24"/>
        </w:rPr>
        <w:t>e</w:t>
      </w:r>
      <w:r w:rsidR="000970AA">
        <w:rPr>
          <w:rFonts w:ascii="Arial" w:hAnsi="Arial" w:cs="Arial"/>
          <w:sz w:val="24"/>
          <w:szCs w:val="24"/>
        </w:rPr>
        <w:t xml:space="preserve"> der</w:t>
      </w:r>
      <w:r w:rsidR="00EB18C0">
        <w:rPr>
          <w:rFonts w:ascii="Arial" w:hAnsi="Arial" w:cs="Arial"/>
          <w:sz w:val="24"/>
          <w:szCs w:val="24"/>
        </w:rPr>
        <w:t xml:space="preserve"> Monat eine Mitteltemperatur </w:t>
      </w:r>
      <w:r w:rsidR="00E373E2">
        <w:rPr>
          <w:rFonts w:ascii="Arial" w:hAnsi="Arial" w:cs="Arial"/>
          <w:sz w:val="24"/>
          <w:szCs w:val="24"/>
        </w:rPr>
        <w:t>in</w:t>
      </w:r>
      <w:r w:rsidR="00EB18C0">
        <w:rPr>
          <w:rFonts w:ascii="Arial" w:hAnsi="Arial" w:cs="Arial"/>
          <w:sz w:val="24"/>
          <w:szCs w:val="24"/>
        </w:rPr>
        <w:t xml:space="preserve"> Sachsen-Anhalt</w:t>
      </w:r>
      <w:r w:rsidR="008707E9">
        <w:rPr>
          <w:rFonts w:ascii="Arial" w:hAnsi="Arial" w:cs="Arial"/>
          <w:sz w:val="24"/>
          <w:szCs w:val="24"/>
        </w:rPr>
        <w:t>s</w:t>
      </w:r>
      <w:r w:rsidR="00EB18C0">
        <w:rPr>
          <w:rFonts w:ascii="Arial" w:hAnsi="Arial" w:cs="Arial"/>
          <w:sz w:val="24"/>
          <w:szCs w:val="24"/>
        </w:rPr>
        <w:t xml:space="preserve"> von </w:t>
      </w:r>
      <w:r w:rsidR="00CF31B7">
        <w:rPr>
          <w:rFonts w:ascii="Arial" w:hAnsi="Arial" w:cs="Arial"/>
          <w:sz w:val="24"/>
          <w:szCs w:val="24"/>
        </w:rPr>
        <w:t>2,5</w:t>
      </w:r>
      <w:r w:rsidR="00EB18C0">
        <w:rPr>
          <w:rFonts w:ascii="Arial" w:hAnsi="Arial" w:cs="Arial"/>
          <w:sz w:val="24"/>
          <w:szCs w:val="24"/>
        </w:rPr>
        <w:t xml:space="preserve"> °C. Damit war der </w:t>
      </w:r>
      <w:r w:rsidR="0065556E">
        <w:rPr>
          <w:rFonts w:ascii="Arial" w:hAnsi="Arial" w:cs="Arial"/>
          <w:sz w:val="24"/>
          <w:szCs w:val="24"/>
        </w:rPr>
        <w:t xml:space="preserve">Januar </w:t>
      </w:r>
      <w:r w:rsidR="00EB18C0">
        <w:rPr>
          <w:rFonts w:ascii="Arial" w:hAnsi="Arial" w:cs="Arial"/>
          <w:sz w:val="24"/>
          <w:szCs w:val="24"/>
        </w:rPr>
        <w:t xml:space="preserve">um </w:t>
      </w:r>
      <w:r w:rsidR="00CF31B7">
        <w:rPr>
          <w:rFonts w:ascii="Arial" w:hAnsi="Arial" w:cs="Arial"/>
          <w:sz w:val="24"/>
          <w:szCs w:val="24"/>
        </w:rPr>
        <w:t>2,7</w:t>
      </w:r>
      <w:r w:rsidR="00EB18C0">
        <w:rPr>
          <w:rFonts w:ascii="Arial" w:hAnsi="Arial" w:cs="Arial"/>
          <w:sz w:val="24"/>
          <w:szCs w:val="24"/>
        </w:rPr>
        <w:t xml:space="preserve"> K wärmer als nach der Referenzperiode von 1961 bis 1990 üblich. Im Vergleich zum 30-Jahreszeitraum von 1991 bis 2020 betrug </w:t>
      </w:r>
      <w:r w:rsidR="00EB18C0">
        <w:rPr>
          <w:rFonts w:ascii="Arial" w:hAnsi="Arial" w:cs="Arial"/>
          <w:sz w:val="24"/>
          <w:szCs w:val="24"/>
        </w:rPr>
        <w:lastRenderedPageBreak/>
        <w:t>die Abweichung 1,</w:t>
      </w:r>
      <w:r w:rsidR="00CF31B7">
        <w:rPr>
          <w:rFonts w:ascii="Arial" w:hAnsi="Arial" w:cs="Arial"/>
          <w:sz w:val="24"/>
          <w:szCs w:val="24"/>
        </w:rPr>
        <w:t>4</w:t>
      </w:r>
      <w:r w:rsidR="00EB18C0">
        <w:rPr>
          <w:rFonts w:ascii="Arial" w:hAnsi="Arial" w:cs="Arial"/>
          <w:sz w:val="24"/>
          <w:szCs w:val="24"/>
        </w:rPr>
        <w:t> K.</w:t>
      </w:r>
      <w:r w:rsidR="000970AA">
        <w:rPr>
          <w:rFonts w:ascii="Arial" w:hAnsi="Arial" w:cs="Arial"/>
          <w:sz w:val="24"/>
          <w:szCs w:val="24"/>
        </w:rPr>
        <w:t xml:space="preserve"> Der Wintereinbruch zur Monatsmitte brachte in weiten Teilen des Landes eine dünne Schneedecke, die auch über einige Tage erhalten </w:t>
      </w:r>
      <w:r w:rsidR="00C05F9C">
        <w:rPr>
          <w:rFonts w:ascii="Arial" w:hAnsi="Arial" w:cs="Arial"/>
          <w:sz w:val="24"/>
          <w:szCs w:val="24"/>
        </w:rPr>
        <w:t>blieb. So lagen beispielsweise im Harz und Harzvorland häufig 10 bis 20 </w:t>
      </w:r>
      <w:r w:rsidR="000970AA">
        <w:rPr>
          <w:rFonts w:ascii="Arial" w:hAnsi="Arial" w:cs="Arial"/>
          <w:sz w:val="24"/>
          <w:szCs w:val="24"/>
        </w:rPr>
        <w:t>cm Schnee</w:t>
      </w:r>
      <w:r w:rsidR="00C05F9C">
        <w:rPr>
          <w:rFonts w:ascii="Arial" w:hAnsi="Arial" w:cs="Arial"/>
          <w:sz w:val="24"/>
          <w:szCs w:val="24"/>
        </w:rPr>
        <w:t>, während ganz im Süden und ganz im Norden nur 1 bis 3 cm zusammenkamen</w:t>
      </w:r>
      <w:r w:rsidR="000970AA">
        <w:rPr>
          <w:rFonts w:ascii="Arial" w:hAnsi="Arial" w:cs="Arial"/>
          <w:sz w:val="24"/>
          <w:szCs w:val="24"/>
        </w:rPr>
        <w:t xml:space="preserve">. Klarte der Himmel </w:t>
      </w:r>
      <w:r w:rsidR="00C05F9C">
        <w:rPr>
          <w:rFonts w:ascii="Arial" w:hAnsi="Arial" w:cs="Arial"/>
          <w:sz w:val="24"/>
          <w:szCs w:val="24"/>
        </w:rPr>
        <w:t xml:space="preserve">dann </w:t>
      </w:r>
      <w:r w:rsidR="000970AA">
        <w:rPr>
          <w:rFonts w:ascii="Arial" w:hAnsi="Arial" w:cs="Arial"/>
          <w:sz w:val="24"/>
          <w:szCs w:val="24"/>
        </w:rPr>
        <w:t>nachts über den Schneeflächen länger auf, kühlte es deutlich ab, wie beispielsweise in Wernigerode-Schierke mit -13,7 °C</w:t>
      </w:r>
      <w:r w:rsidR="00C05F9C">
        <w:rPr>
          <w:rFonts w:ascii="Arial" w:hAnsi="Arial" w:cs="Arial"/>
          <w:sz w:val="24"/>
          <w:szCs w:val="24"/>
        </w:rPr>
        <w:t xml:space="preserve"> am 13. Januar. </w:t>
      </w:r>
      <w:r w:rsidR="000970AA">
        <w:rPr>
          <w:rFonts w:ascii="Arial" w:hAnsi="Arial" w:cs="Arial"/>
          <w:sz w:val="24"/>
          <w:szCs w:val="24"/>
        </w:rPr>
        <w:t>Einen besonders milden Tag</w:t>
      </w:r>
      <w:r w:rsidR="00C05F9C">
        <w:rPr>
          <w:rFonts w:ascii="Arial" w:hAnsi="Arial" w:cs="Arial"/>
          <w:sz w:val="24"/>
          <w:szCs w:val="24"/>
        </w:rPr>
        <w:t xml:space="preserve"> hingegen</w:t>
      </w:r>
      <w:r w:rsidR="000970AA">
        <w:rPr>
          <w:rFonts w:ascii="Arial" w:hAnsi="Arial" w:cs="Arial"/>
          <w:sz w:val="24"/>
          <w:szCs w:val="24"/>
        </w:rPr>
        <w:t xml:space="preserve"> gab es am 25.01. in weiten Teilen Sachsen-Anhalts, so erreichte Bad Lauchstädt an jenem Tag 16,5 °C</w:t>
      </w:r>
      <w:r w:rsidR="00CA419D">
        <w:rPr>
          <w:rFonts w:ascii="Arial" w:hAnsi="Arial" w:cs="Arial"/>
          <w:sz w:val="24"/>
          <w:szCs w:val="24"/>
        </w:rPr>
        <w:t>.</w:t>
      </w:r>
    </w:p>
    <w:p w14:paraId="5504299D" w14:textId="77777777" w:rsidR="00E96AE8" w:rsidRPr="00BA449D" w:rsidRDefault="00E96AE8" w:rsidP="00E96AE8">
      <w:pPr>
        <w:spacing w:after="0"/>
        <w:rPr>
          <w:rFonts w:ascii="Arial" w:hAnsi="Arial" w:cs="Arial"/>
          <w:sz w:val="24"/>
          <w:szCs w:val="24"/>
        </w:rPr>
      </w:pPr>
    </w:p>
    <w:p w14:paraId="1F42EBA6" w14:textId="17598309" w:rsidR="00C05F9C" w:rsidRDefault="0065556E" w:rsidP="00E96AE8">
      <w:pPr>
        <w:spacing w:after="0"/>
        <w:rPr>
          <w:rFonts w:ascii="Arial" w:hAnsi="Arial" w:cs="Arial"/>
          <w:sz w:val="24"/>
          <w:szCs w:val="24"/>
        </w:rPr>
      </w:pPr>
      <w:r>
        <w:rPr>
          <w:rFonts w:ascii="Arial" w:hAnsi="Arial" w:cs="Arial"/>
          <w:sz w:val="24"/>
          <w:szCs w:val="24"/>
        </w:rPr>
        <w:t>Während der tiefdruckgeprägten Phasen dominierten überwiegend feuchte und milde Luftmassen das Geschehen. In der Folge kam es zu reichlichen Niederschlägen.</w:t>
      </w:r>
      <w:r w:rsidR="00EB18C0">
        <w:rPr>
          <w:rFonts w:ascii="Arial" w:hAnsi="Arial" w:cs="Arial"/>
          <w:sz w:val="24"/>
          <w:szCs w:val="24"/>
        </w:rPr>
        <w:t xml:space="preserve"> In </w:t>
      </w:r>
      <w:r w:rsidR="00CA419D">
        <w:rPr>
          <w:rFonts w:ascii="Arial" w:hAnsi="Arial" w:cs="Arial"/>
          <w:sz w:val="24"/>
          <w:szCs w:val="24"/>
        </w:rPr>
        <w:t xml:space="preserve">der </w:t>
      </w:r>
      <w:r w:rsidR="00EB18C0">
        <w:rPr>
          <w:rFonts w:ascii="Arial" w:hAnsi="Arial" w:cs="Arial"/>
          <w:sz w:val="24"/>
          <w:szCs w:val="24"/>
        </w:rPr>
        <w:t>K</w:t>
      </w:r>
      <w:r w:rsidR="00990276">
        <w:rPr>
          <w:rFonts w:ascii="Arial" w:hAnsi="Arial" w:cs="Arial"/>
          <w:sz w:val="24"/>
          <w:szCs w:val="24"/>
        </w:rPr>
        <w:t xml:space="preserve">onsequenz </w:t>
      </w:r>
      <w:r w:rsidR="00C05F9C">
        <w:rPr>
          <w:rFonts w:ascii="Arial" w:hAnsi="Arial" w:cs="Arial"/>
          <w:sz w:val="24"/>
          <w:szCs w:val="24"/>
        </w:rPr>
        <w:t>brachte</w:t>
      </w:r>
      <w:r w:rsidR="00990276">
        <w:rPr>
          <w:rFonts w:ascii="Arial" w:hAnsi="Arial" w:cs="Arial"/>
          <w:sz w:val="24"/>
          <w:szCs w:val="24"/>
        </w:rPr>
        <w:t xml:space="preserve"> der Monat mit 55</w:t>
      </w:r>
      <w:r w:rsidR="00EB18C0">
        <w:rPr>
          <w:rFonts w:ascii="Arial" w:hAnsi="Arial" w:cs="Arial"/>
          <w:sz w:val="24"/>
          <w:szCs w:val="24"/>
        </w:rPr>
        <w:t>,</w:t>
      </w:r>
      <w:r w:rsidR="00990276">
        <w:rPr>
          <w:rFonts w:ascii="Arial" w:hAnsi="Arial" w:cs="Arial"/>
          <w:sz w:val="24"/>
          <w:szCs w:val="24"/>
        </w:rPr>
        <w:t>7</w:t>
      </w:r>
      <w:r w:rsidR="00EB18C0">
        <w:rPr>
          <w:rFonts w:ascii="Arial" w:hAnsi="Arial" w:cs="Arial"/>
          <w:sz w:val="24"/>
          <w:szCs w:val="24"/>
        </w:rPr>
        <w:t xml:space="preserve"> mm Niederschlag mit </w:t>
      </w:r>
      <w:r w:rsidR="00990276">
        <w:rPr>
          <w:rFonts w:ascii="Arial" w:hAnsi="Arial" w:cs="Arial"/>
          <w:sz w:val="24"/>
          <w:szCs w:val="24"/>
        </w:rPr>
        <w:t>144,0</w:t>
      </w:r>
      <w:r w:rsidR="00EB18C0">
        <w:rPr>
          <w:rFonts w:ascii="Arial" w:hAnsi="Arial" w:cs="Arial"/>
          <w:sz w:val="24"/>
          <w:szCs w:val="24"/>
        </w:rPr>
        <w:t xml:space="preserve"> % </w:t>
      </w:r>
      <w:r w:rsidR="00C05F9C">
        <w:rPr>
          <w:rFonts w:ascii="Arial" w:hAnsi="Arial" w:cs="Arial"/>
          <w:sz w:val="24"/>
          <w:szCs w:val="24"/>
        </w:rPr>
        <w:t>deutlich mehr als das</w:t>
      </w:r>
      <w:r w:rsidR="00EB18C0">
        <w:rPr>
          <w:rFonts w:ascii="Arial" w:hAnsi="Arial" w:cs="Arial"/>
          <w:sz w:val="24"/>
          <w:szCs w:val="24"/>
        </w:rPr>
        <w:t xml:space="preserve"> Soll</w:t>
      </w:r>
      <w:r w:rsidR="00C05F9C">
        <w:rPr>
          <w:rFonts w:ascii="Arial" w:hAnsi="Arial" w:cs="Arial"/>
          <w:sz w:val="24"/>
          <w:szCs w:val="24"/>
        </w:rPr>
        <w:t xml:space="preserve"> des</w:t>
      </w:r>
      <w:r w:rsidR="00EB18C0">
        <w:rPr>
          <w:rFonts w:ascii="Arial" w:hAnsi="Arial" w:cs="Arial"/>
          <w:sz w:val="24"/>
          <w:szCs w:val="24"/>
        </w:rPr>
        <w:t xml:space="preserve"> Referenz-Mittelwertes von 1961 bis 1990</w:t>
      </w:r>
      <w:r w:rsidR="00C05F9C">
        <w:rPr>
          <w:rFonts w:ascii="Arial" w:hAnsi="Arial" w:cs="Arial"/>
          <w:sz w:val="24"/>
          <w:szCs w:val="24"/>
        </w:rPr>
        <w:t xml:space="preserve"> erwarten ließe</w:t>
      </w:r>
      <w:r w:rsidR="00EB18C0">
        <w:rPr>
          <w:rFonts w:ascii="Arial" w:hAnsi="Arial" w:cs="Arial"/>
          <w:sz w:val="24"/>
          <w:szCs w:val="24"/>
        </w:rPr>
        <w:t xml:space="preserve"> </w:t>
      </w:r>
      <w:r w:rsidR="00C05F9C">
        <w:rPr>
          <w:rFonts w:ascii="Arial" w:hAnsi="Arial" w:cs="Arial"/>
          <w:sz w:val="24"/>
          <w:szCs w:val="24"/>
        </w:rPr>
        <w:t xml:space="preserve">und mit </w:t>
      </w:r>
      <w:r w:rsidR="00990276">
        <w:rPr>
          <w:rFonts w:ascii="Arial" w:hAnsi="Arial" w:cs="Arial"/>
          <w:sz w:val="24"/>
          <w:szCs w:val="24"/>
        </w:rPr>
        <w:t>123,6</w:t>
      </w:r>
      <w:r w:rsidR="00EB18C0">
        <w:rPr>
          <w:rFonts w:ascii="Arial" w:hAnsi="Arial" w:cs="Arial"/>
          <w:sz w:val="24"/>
          <w:szCs w:val="24"/>
        </w:rPr>
        <w:t xml:space="preserve"> % </w:t>
      </w:r>
      <w:r w:rsidR="00C05F9C">
        <w:rPr>
          <w:rFonts w:ascii="Arial" w:hAnsi="Arial" w:cs="Arial"/>
          <w:sz w:val="24"/>
          <w:szCs w:val="24"/>
        </w:rPr>
        <w:t xml:space="preserve">auch mehr als </w:t>
      </w:r>
      <w:r w:rsidR="00EB18C0">
        <w:rPr>
          <w:rFonts w:ascii="Arial" w:hAnsi="Arial" w:cs="Arial"/>
          <w:sz w:val="24"/>
          <w:szCs w:val="24"/>
        </w:rPr>
        <w:t>d</w:t>
      </w:r>
      <w:r w:rsidR="00C05F9C">
        <w:rPr>
          <w:rFonts w:ascii="Arial" w:hAnsi="Arial" w:cs="Arial"/>
          <w:sz w:val="24"/>
          <w:szCs w:val="24"/>
        </w:rPr>
        <w:t>as</w:t>
      </w:r>
      <w:r w:rsidR="00EB18C0">
        <w:rPr>
          <w:rFonts w:ascii="Arial" w:hAnsi="Arial" w:cs="Arial"/>
          <w:sz w:val="24"/>
          <w:szCs w:val="24"/>
        </w:rPr>
        <w:t xml:space="preserve"> 30-Jahresmittel von 1991 bis 2020. </w:t>
      </w:r>
      <w:r w:rsidR="005E10F0">
        <w:rPr>
          <w:rFonts w:ascii="Arial" w:hAnsi="Arial" w:cs="Arial"/>
          <w:sz w:val="24"/>
          <w:szCs w:val="24"/>
        </w:rPr>
        <w:t xml:space="preserve">Darüber hinaus war der Niederschlag sehr ungleichmäßig verteilt. In einem Streifen vom Harz über die Börde bis in </w:t>
      </w:r>
      <w:r w:rsidR="00CA419D">
        <w:rPr>
          <w:rFonts w:ascii="Arial" w:hAnsi="Arial" w:cs="Arial"/>
          <w:sz w:val="24"/>
          <w:szCs w:val="24"/>
        </w:rPr>
        <w:t xml:space="preserve">die </w:t>
      </w:r>
      <w:r w:rsidR="005E10F0">
        <w:rPr>
          <w:rFonts w:ascii="Arial" w:hAnsi="Arial" w:cs="Arial"/>
          <w:sz w:val="24"/>
          <w:szCs w:val="24"/>
        </w:rPr>
        <w:t xml:space="preserve">Altmark war es besonders feucht mit teilweise mehr als dem Doppelten der üblichen Niederschlagsmenge, während im Süden und Osten nur wenig mehr als </w:t>
      </w:r>
      <w:r w:rsidR="004E3198">
        <w:rPr>
          <w:rFonts w:ascii="Arial" w:hAnsi="Arial" w:cs="Arial"/>
          <w:sz w:val="24"/>
          <w:szCs w:val="24"/>
        </w:rPr>
        <w:t xml:space="preserve">die </w:t>
      </w:r>
      <w:r w:rsidR="005E10F0">
        <w:rPr>
          <w:rFonts w:ascii="Arial" w:hAnsi="Arial" w:cs="Arial"/>
          <w:sz w:val="24"/>
          <w:szCs w:val="24"/>
        </w:rPr>
        <w:t xml:space="preserve">übliche Niederschlagmenge registriert wurde. </w:t>
      </w:r>
    </w:p>
    <w:p w14:paraId="27DDECFC" w14:textId="77777777" w:rsidR="0031786E" w:rsidRPr="00BA449D" w:rsidRDefault="0031786E" w:rsidP="00371A93">
      <w:pPr>
        <w:spacing w:after="0"/>
        <w:rPr>
          <w:rFonts w:ascii="Arial" w:hAnsi="Arial" w:cs="Arial"/>
          <w:sz w:val="24"/>
          <w:szCs w:val="24"/>
        </w:rPr>
      </w:pPr>
    </w:p>
    <w:p w14:paraId="07D95532" w14:textId="7D54DC86" w:rsidR="00A723BD" w:rsidRPr="00BA449D" w:rsidRDefault="005E10F0" w:rsidP="00371A93">
      <w:pPr>
        <w:spacing w:after="0"/>
        <w:rPr>
          <w:rFonts w:ascii="Arial" w:hAnsi="Arial" w:cs="Arial"/>
          <w:sz w:val="24"/>
          <w:szCs w:val="24"/>
        </w:rPr>
      </w:pPr>
      <w:r>
        <w:rPr>
          <w:rFonts w:ascii="Arial" w:hAnsi="Arial" w:cs="Arial"/>
          <w:sz w:val="24"/>
          <w:szCs w:val="24"/>
        </w:rPr>
        <w:t>Die rege Tiefdrucktätigkeit im Januar sorgte für viel Bewölkung und nur verhaltene Sonnenscheinanteile. In der Folge erreichte der Monat insgesamt</w:t>
      </w:r>
      <w:r w:rsidR="00107280">
        <w:rPr>
          <w:rFonts w:ascii="Arial" w:hAnsi="Arial" w:cs="Arial"/>
          <w:sz w:val="24"/>
          <w:szCs w:val="24"/>
        </w:rPr>
        <w:t xml:space="preserve"> </w:t>
      </w:r>
      <w:r w:rsidR="00990276">
        <w:rPr>
          <w:rFonts w:ascii="Arial" w:hAnsi="Arial" w:cs="Arial"/>
          <w:sz w:val="24"/>
          <w:szCs w:val="24"/>
        </w:rPr>
        <w:t>43,9</w:t>
      </w:r>
      <w:r w:rsidR="00107280">
        <w:rPr>
          <w:rFonts w:ascii="Arial" w:hAnsi="Arial" w:cs="Arial"/>
          <w:sz w:val="24"/>
          <w:szCs w:val="24"/>
        </w:rPr>
        <w:t xml:space="preserve"> Sonnenstunden</w:t>
      </w:r>
      <w:r>
        <w:rPr>
          <w:rFonts w:ascii="Arial" w:hAnsi="Arial" w:cs="Arial"/>
          <w:sz w:val="24"/>
          <w:szCs w:val="24"/>
        </w:rPr>
        <w:t>. Dies entspricht</w:t>
      </w:r>
      <w:r w:rsidR="00107280">
        <w:rPr>
          <w:rFonts w:ascii="Arial" w:hAnsi="Arial" w:cs="Arial"/>
          <w:sz w:val="24"/>
          <w:szCs w:val="24"/>
        </w:rPr>
        <w:t xml:space="preserve"> </w:t>
      </w:r>
      <w:r w:rsidR="00990276">
        <w:rPr>
          <w:rFonts w:ascii="Arial" w:hAnsi="Arial" w:cs="Arial"/>
          <w:sz w:val="24"/>
          <w:szCs w:val="24"/>
        </w:rPr>
        <w:t>103,4</w:t>
      </w:r>
      <w:r w:rsidR="00107280">
        <w:rPr>
          <w:rFonts w:ascii="Arial" w:hAnsi="Arial" w:cs="Arial"/>
          <w:sz w:val="24"/>
          <w:szCs w:val="24"/>
        </w:rPr>
        <w:t xml:space="preserve"> % im Vergleich zur Referenzperiode von 1961 bis 1990 </w:t>
      </w:r>
      <w:r>
        <w:rPr>
          <w:rFonts w:ascii="Arial" w:hAnsi="Arial" w:cs="Arial"/>
          <w:sz w:val="24"/>
          <w:szCs w:val="24"/>
        </w:rPr>
        <w:t>oder 82,3 % i</w:t>
      </w:r>
      <w:r w:rsidR="00107280">
        <w:rPr>
          <w:rFonts w:ascii="Arial" w:hAnsi="Arial" w:cs="Arial"/>
          <w:sz w:val="24"/>
          <w:szCs w:val="24"/>
        </w:rPr>
        <w:t>n Bezug auf die Klimaperiode von 1991 bis 2020</w:t>
      </w:r>
      <w:r>
        <w:rPr>
          <w:rFonts w:ascii="Arial" w:hAnsi="Arial" w:cs="Arial"/>
          <w:sz w:val="24"/>
          <w:szCs w:val="24"/>
        </w:rPr>
        <w:t>. Die Sonnenscheinanteile waren dabei im Süden und Osten Sachsen-Anhalte größer als im Westen und Norden des Landes.</w:t>
      </w:r>
      <w:r w:rsidR="00107280">
        <w:rPr>
          <w:rFonts w:ascii="Arial" w:hAnsi="Arial" w:cs="Arial"/>
          <w:sz w:val="24"/>
          <w:szCs w:val="24"/>
        </w:rPr>
        <w:t xml:space="preserve"> </w:t>
      </w:r>
    </w:p>
    <w:p w14:paraId="6E23B0B3" w14:textId="77777777" w:rsidR="00E11367" w:rsidRPr="00BA449D" w:rsidRDefault="00E11367" w:rsidP="00371A93">
      <w:pPr>
        <w:spacing w:after="0"/>
        <w:rPr>
          <w:rFonts w:ascii="Arial" w:hAnsi="Arial" w:cs="Arial"/>
          <w:sz w:val="24"/>
          <w:szCs w:val="24"/>
        </w:rPr>
      </w:pPr>
    </w:p>
    <w:p w14:paraId="37A603E1" w14:textId="30EE5BE4" w:rsidR="000D7156" w:rsidRPr="00BA449D" w:rsidRDefault="009A7AF2">
      <w:pPr>
        <w:rPr>
          <w:rFonts w:ascii="Arial" w:hAnsi="Arial" w:cs="Arial"/>
          <w:b/>
          <w:sz w:val="24"/>
          <w:szCs w:val="24"/>
        </w:rPr>
      </w:pPr>
      <w:r>
        <w:rPr>
          <w:rFonts w:ascii="Arial" w:hAnsi="Arial" w:cs="Arial"/>
          <w:b/>
          <w:sz w:val="24"/>
          <w:szCs w:val="24"/>
        </w:rPr>
        <w:t>Februar</w:t>
      </w:r>
    </w:p>
    <w:p w14:paraId="79E6BF1C" w14:textId="77777777" w:rsidR="00F07255" w:rsidRDefault="009A7AF2" w:rsidP="00E11835">
      <w:pPr>
        <w:spacing w:after="0"/>
        <w:rPr>
          <w:rFonts w:ascii="Arial" w:hAnsi="Arial" w:cs="Arial"/>
          <w:sz w:val="24"/>
          <w:szCs w:val="24"/>
        </w:rPr>
      </w:pPr>
      <w:r>
        <w:rPr>
          <w:rFonts w:ascii="Arial" w:hAnsi="Arial" w:cs="Arial"/>
          <w:sz w:val="24"/>
          <w:szCs w:val="24"/>
        </w:rPr>
        <w:t xml:space="preserve">Auch der Februar </w:t>
      </w:r>
      <w:r w:rsidR="004E3198">
        <w:rPr>
          <w:rFonts w:ascii="Arial" w:hAnsi="Arial" w:cs="Arial"/>
          <w:sz w:val="24"/>
          <w:szCs w:val="24"/>
        </w:rPr>
        <w:t xml:space="preserve">2025 </w:t>
      </w:r>
      <w:r>
        <w:rPr>
          <w:rFonts w:ascii="Arial" w:hAnsi="Arial" w:cs="Arial"/>
          <w:sz w:val="24"/>
          <w:szCs w:val="24"/>
        </w:rPr>
        <w:t>präsentierte sich bzgl. des Wetters vielfältig</w:t>
      </w:r>
      <w:r w:rsidR="000E49CA">
        <w:rPr>
          <w:rFonts w:ascii="Arial" w:hAnsi="Arial" w:cs="Arial"/>
          <w:sz w:val="24"/>
          <w:szCs w:val="24"/>
        </w:rPr>
        <w:t>, wenn auch überwiegend von Hochdruck dominiert</w:t>
      </w:r>
      <w:r>
        <w:rPr>
          <w:rFonts w:ascii="Arial" w:hAnsi="Arial" w:cs="Arial"/>
          <w:sz w:val="24"/>
          <w:szCs w:val="24"/>
        </w:rPr>
        <w:t xml:space="preserve">. Nach einem milden und hochdruckgeprägten ersten Monatsdrittel sorgte im Anschluss ein kurzer Kaltlufteinbruch für eine winterliche Woche um die Monatsmitte herum. Zum Ende des Monats hielt dann bereits der Frühling Einzug. </w:t>
      </w:r>
    </w:p>
    <w:p w14:paraId="0BA5C179" w14:textId="68EE479E" w:rsidR="009A7AF2" w:rsidRDefault="009A7AF2" w:rsidP="00E11835">
      <w:pPr>
        <w:spacing w:after="0"/>
        <w:rPr>
          <w:rFonts w:ascii="Arial" w:hAnsi="Arial" w:cs="Arial"/>
          <w:sz w:val="24"/>
          <w:szCs w:val="24"/>
        </w:rPr>
      </w:pPr>
      <w:r>
        <w:rPr>
          <w:rFonts w:ascii="Arial" w:hAnsi="Arial" w:cs="Arial"/>
          <w:sz w:val="24"/>
          <w:szCs w:val="24"/>
        </w:rPr>
        <w:t>Der Kaltlufteinbruch ging mit einigen Schneefällen einher, sodass sich gerade in der nördlichen Hälfte des Landes bei 5 bis 10 cm eine sehr winterliche Woche einstellte, während in der Südhälfte wenige Zentimeter Schnee bereits nach wenigen Tagen abgetaut waren. Gerade in klaren Nächten über Schnee wurde es empfindlich kalt mit deutlich unter -10 °C. Besonders kalt war es dabei i</w:t>
      </w:r>
      <w:r w:rsidR="004E3198">
        <w:rPr>
          <w:rFonts w:ascii="Arial" w:hAnsi="Arial" w:cs="Arial"/>
          <w:sz w:val="24"/>
          <w:szCs w:val="24"/>
        </w:rPr>
        <w:t>n</w:t>
      </w:r>
      <w:r>
        <w:rPr>
          <w:rFonts w:ascii="Arial" w:hAnsi="Arial" w:cs="Arial"/>
          <w:sz w:val="24"/>
          <w:szCs w:val="24"/>
        </w:rPr>
        <w:t xml:space="preserve"> Oberharz am Brocken-Stiege mit -19,0 °C</w:t>
      </w:r>
      <w:r w:rsidR="004E3198">
        <w:rPr>
          <w:rFonts w:ascii="Arial" w:hAnsi="Arial" w:cs="Arial"/>
          <w:sz w:val="24"/>
          <w:szCs w:val="24"/>
        </w:rPr>
        <w:t>,</w:t>
      </w:r>
      <w:r>
        <w:rPr>
          <w:rFonts w:ascii="Arial" w:hAnsi="Arial" w:cs="Arial"/>
          <w:sz w:val="24"/>
          <w:szCs w:val="24"/>
        </w:rPr>
        <w:t xml:space="preserve"> aber auch beispielsweise </w:t>
      </w:r>
      <w:r w:rsidR="00037372">
        <w:rPr>
          <w:rFonts w:ascii="Arial" w:hAnsi="Arial" w:cs="Arial"/>
          <w:sz w:val="24"/>
          <w:szCs w:val="24"/>
        </w:rPr>
        <w:t xml:space="preserve">in Genthin </w:t>
      </w:r>
      <w:r>
        <w:rPr>
          <w:rFonts w:ascii="Arial" w:hAnsi="Arial" w:cs="Arial"/>
          <w:sz w:val="24"/>
          <w:szCs w:val="24"/>
        </w:rPr>
        <w:t>mit -13,8 °C . Im Kontrast dazu reichte es an mehreren Tag</w:t>
      </w:r>
      <w:r w:rsidR="00713B67">
        <w:rPr>
          <w:rFonts w:ascii="Arial" w:hAnsi="Arial" w:cs="Arial"/>
          <w:sz w:val="24"/>
          <w:szCs w:val="24"/>
        </w:rPr>
        <w:t>en</w:t>
      </w:r>
      <w:r>
        <w:rPr>
          <w:rFonts w:ascii="Arial" w:hAnsi="Arial" w:cs="Arial"/>
          <w:sz w:val="24"/>
          <w:szCs w:val="24"/>
        </w:rPr>
        <w:t xml:space="preserve"> ab dem 21. Februar für </w:t>
      </w:r>
      <w:r w:rsidR="000E49CA">
        <w:rPr>
          <w:rFonts w:ascii="Arial" w:hAnsi="Arial" w:cs="Arial"/>
          <w:sz w:val="24"/>
          <w:szCs w:val="24"/>
        </w:rPr>
        <w:t>milde</w:t>
      </w:r>
      <w:r>
        <w:rPr>
          <w:rFonts w:ascii="Arial" w:hAnsi="Arial" w:cs="Arial"/>
          <w:sz w:val="24"/>
          <w:szCs w:val="24"/>
        </w:rPr>
        <w:t xml:space="preserve"> 15 °C wie zum Beispiel in Wernigerode mit 16,8 °C oder in Quedlinburg mit 16,1 °C.</w:t>
      </w:r>
      <w:r w:rsidR="000E49CA">
        <w:rPr>
          <w:rFonts w:ascii="Arial" w:hAnsi="Arial" w:cs="Arial"/>
          <w:sz w:val="24"/>
          <w:szCs w:val="24"/>
        </w:rPr>
        <w:t xml:space="preserve"> </w:t>
      </w:r>
      <w:r w:rsidR="000E5319">
        <w:rPr>
          <w:rFonts w:ascii="Arial" w:hAnsi="Arial" w:cs="Arial"/>
          <w:sz w:val="24"/>
          <w:szCs w:val="24"/>
        </w:rPr>
        <w:t xml:space="preserve">Das </w:t>
      </w:r>
      <w:r w:rsidR="000E49CA">
        <w:rPr>
          <w:rFonts w:ascii="Arial" w:hAnsi="Arial" w:cs="Arial"/>
          <w:sz w:val="24"/>
          <w:szCs w:val="24"/>
        </w:rPr>
        <w:t xml:space="preserve">Monatsmittel des Februars für Sachsen-Anhalt </w:t>
      </w:r>
      <w:r w:rsidR="0065556E">
        <w:rPr>
          <w:rFonts w:ascii="Arial" w:hAnsi="Arial" w:cs="Arial"/>
          <w:sz w:val="24"/>
          <w:szCs w:val="24"/>
        </w:rPr>
        <w:t>erreichte</w:t>
      </w:r>
      <w:r w:rsidR="000E49CA">
        <w:rPr>
          <w:rFonts w:ascii="Arial" w:hAnsi="Arial" w:cs="Arial"/>
          <w:sz w:val="24"/>
          <w:szCs w:val="24"/>
        </w:rPr>
        <w:t xml:space="preserve"> 1,1 °C und lag damit um 0,7 K über der Referenzperiode von 1961 bis 1990, aber war im Vergleich zur Klimaperiode von 1991 bis 2020 um 0,6 K zu kühl.</w:t>
      </w:r>
    </w:p>
    <w:p w14:paraId="0B45CCDF" w14:textId="77777777" w:rsidR="009A7AF2" w:rsidRDefault="009A7AF2" w:rsidP="00E11835">
      <w:pPr>
        <w:spacing w:after="0"/>
        <w:rPr>
          <w:rFonts w:ascii="Arial" w:hAnsi="Arial" w:cs="Arial"/>
          <w:sz w:val="24"/>
          <w:szCs w:val="24"/>
        </w:rPr>
      </w:pPr>
    </w:p>
    <w:p w14:paraId="6328C72D" w14:textId="2D9281B2" w:rsidR="00A12AB0" w:rsidRPr="00BA449D" w:rsidRDefault="00E579E5">
      <w:pPr>
        <w:rPr>
          <w:rFonts w:ascii="Arial" w:hAnsi="Arial" w:cs="Arial"/>
          <w:sz w:val="24"/>
          <w:szCs w:val="24"/>
        </w:rPr>
      </w:pPr>
      <w:r w:rsidRPr="00BA449D">
        <w:rPr>
          <w:rFonts w:ascii="Arial" w:hAnsi="Arial" w:cs="Arial"/>
          <w:sz w:val="24"/>
          <w:szCs w:val="24"/>
        </w:rPr>
        <w:lastRenderedPageBreak/>
        <w:t xml:space="preserve">Die Niederschlagsmenge im Flächenmittel Sachsen-Anhalts </w:t>
      </w:r>
      <w:r w:rsidR="001B6A75">
        <w:rPr>
          <w:rFonts w:ascii="Arial" w:hAnsi="Arial" w:cs="Arial"/>
          <w:sz w:val="24"/>
          <w:szCs w:val="24"/>
        </w:rPr>
        <w:t>blieb</w:t>
      </w:r>
      <w:r w:rsidRPr="00BA449D">
        <w:rPr>
          <w:rFonts w:ascii="Arial" w:hAnsi="Arial" w:cs="Arial"/>
          <w:sz w:val="24"/>
          <w:szCs w:val="24"/>
        </w:rPr>
        <w:t xml:space="preserve"> im </w:t>
      </w:r>
      <w:r w:rsidR="0020109C">
        <w:rPr>
          <w:rFonts w:ascii="Arial" w:hAnsi="Arial" w:cs="Arial"/>
          <w:sz w:val="24"/>
          <w:szCs w:val="24"/>
        </w:rPr>
        <w:t xml:space="preserve">Februar mit 15,3 mm deutlich hinter den langjährigen Mittelwerten zurück. So wurden nur 46,0 % des üblichen Niederschlags des Referenzzeitraums registriert, im Vergleich zum Zeitraum von 1991 bis 2020 nur 44,8 %. Besonders trocken war es dabei in der Altmark und </w:t>
      </w:r>
      <w:r w:rsidR="004E3198">
        <w:rPr>
          <w:rFonts w:ascii="Arial" w:hAnsi="Arial" w:cs="Arial"/>
          <w:sz w:val="24"/>
          <w:szCs w:val="24"/>
        </w:rPr>
        <w:t xml:space="preserve">in </w:t>
      </w:r>
      <w:r w:rsidR="0020109C">
        <w:rPr>
          <w:rFonts w:ascii="Arial" w:hAnsi="Arial" w:cs="Arial"/>
          <w:sz w:val="24"/>
          <w:szCs w:val="24"/>
        </w:rPr>
        <w:t>der Börde, so wurden in Zielitz nur 6,1 mm und in Gardelegen-Lindstedterhorst 6,7 mm</w:t>
      </w:r>
      <w:r w:rsidR="004E3198">
        <w:rPr>
          <w:rFonts w:ascii="Arial" w:hAnsi="Arial" w:cs="Arial"/>
          <w:sz w:val="24"/>
          <w:szCs w:val="24"/>
        </w:rPr>
        <w:t xml:space="preserve"> gemessen</w:t>
      </w:r>
      <w:r w:rsidR="0020109C">
        <w:rPr>
          <w:rFonts w:ascii="Arial" w:hAnsi="Arial" w:cs="Arial"/>
          <w:sz w:val="24"/>
          <w:szCs w:val="24"/>
        </w:rPr>
        <w:t>. Etwas mehr Niederschlag gab es in einem Streif</w:t>
      </w:r>
      <w:r w:rsidR="004E3198">
        <w:rPr>
          <w:rFonts w:ascii="Arial" w:hAnsi="Arial" w:cs="Arial"/>
          <w:sz w:val="24"/>
          <w:szCs w:val="24"/>
        </w:rPr>
        <w:t>en</w:t>
      </w:r>
      <w:r w:rsidR="0020109C">
        <w:rPr>
          <w:rFonts w:ascii="Arial" w:hAnsi="Arial" w:cs="Arial"/>
          <w:sz w:val="24"/>
          <w:szCs w:val="24"/>
        </w:rPr>
        <w:t xml:space="preserve"> vom Harz bis in den Burgenlandkreis, dennoch wurde auch hier das langjährige Mittel nirgends erreicht. </w:t>
      </w:r>
    </w:p>
    <w:p w14:paraId="6FF523DC" w14:textId="3AC600D8" w:rsidR="00E11835" w:rsidRDefault="0020109C" w:rsidP="00E11835">
      <w:pPr>
        <w:spacing w:after="0"/>
        <w:rPr>
          <w:rFonts w:ascii="Arial" w:hAnsi="Arial" w:cs="Arial"/>
          <w:sz w:val="24"/>
          <w:szCs w:val="24"/>
        </w:rPr>
      </w:pPr>
      <w:r>
        <w:rPr>
          <w:rFonts w:ascii="Arial" w:hAnsi="Arial" w:cs="Arial"/>
          <w:sz w:val="24"/>
          <w:szCs w:val="24"/>
        </w:rPr>
        <w:t xml:space="preserve">Hingegen war der Februar mit 97,7 Sonnenstunden ein sehr sonniger Monat und erreichte entsprechend im Vergleich zur Referenzperiode von 1961 bis 1990 144,4 % der üblichen Sonnenscheindauer und auch gegenüber dem Mittel von 1991 bis 2020 waren es noch 128,0 %. Besonders sonnenscheinreich war dabei die zweite Monatshälfte. </w:t>
      </w:r>
    </w:p>
    <w:p w14:paraId="2AF67EB3" w14:textId="77777777" w:rsidR="00514116" w:rsidRDefault="00514116" w:rsidP="00E11835">
      <w:pPr>
        <w:spacing w:after="0"/>
        <w:rPr>
          <w:rFonts w:ascii="Arial" w:hAnsi="Arial" w:cs="Arial"/>
          <w:sz w:val="24"/>
          <w:szCs w:val="24"/>
        </w:rPr>
      </w:pPr>
    </w:p>
    <w:p w14:paraId="4D23C6E5" w14:textId="392E10B2" w:rsidR="00227988" w:rsidRPr="00F022D8" w:rsidRDefault="007F4794">
      <w:pPr>
        <w:rPr>
          <w:rFonts w:ascii="Arial" w:hAnsi="Arial" w:cs="Arial"/>
          <w:b/>
          <w:sz w:val="24"/>
        </w:rPr>
      </w:pPr>
      <w:r>
        <w:rPr>
          <w:rFonts w:ascii="Arial" w:hAnsi="Arial" w:cs="Arial"/>
          <w:b/>
          <w:sz w:val="24"/>
        </w:rPr>
        <w:t>Winter</w:t>
      </w:r>
    </w:p>
    <w:p w14:paraId="0204AC66" w14:textId="7C8CEDD2" w:rsidR="00F022D8" w:rsidRDefault="00CE153D" w:rsidP="00F022D8">
      <w:pPr>
        <w:spacing w:after="0"/>
        <w:rPr>
          <w:rFonts w:ascii="Arial" w:hAnsi="Arial" w:cs="Arial"/>
          <w:sz w:val="24"/>
        </w:rPr>
      </w:pPr>
      <w:r>
        <w:rPr>
          <w:rFonts w:ascii="Arial" w:hAnsi="Arial" w:cs="Arial"/>
          <w:sz w:val="24"/>
        </w:rPr>
        <w:t xml:space="preserve">Im Rückblick auf den gesamten </w:t>
      </w:r>
      <w:r w:rsidR="0056300C">
        <w:rPr>
          <w:rFonts w:ascii="Arial" w:hAnsi="Arial" w:cs="Arial"/>
          <w:sz w:val="24"/>
        </w:rPr>
        <w:t>Winter</w:t>
      </w:r>
      <w:r>
        <w:rPr>
          <w:rFonts w:ascii="Arial" w:hAnsi="Arial" w:cs="Arial"/>
          <w:sz w:val="24"/>
        </w:rPr>
        <w:t xml:space="preserve"> vom 01. </w:t>
      </w:r>
      <w:r w:rsidR="0056300C">
        <w:rPr>
          <w:rFonts w:ascii="Arial" w:hAnsi="Arial" w:cs="Arial"/>
          <w:sz w:val="24"/>
        </w:rPr>
        <w:t xml:space="preserve">Dezember </w:t>
      </w:r>
      <w:r w:rsidR="004E3198">
        <w:rPr>
          <w:rFonts w:ascii="Arial" w:hAnsi="Arial" w:cs="Arial"/>
          <w:sz w:val="24"/>
        </w:rPr>
        <w:t xml:space="preserve">2024 </w:t>
      </w:r>
      <w:r w:rsidR="0056300C">
        <w:rPr>
          <w:rFonts w:ascii="Arial" w:hAnsi="Arial" w:cs="Arial"/>
          <w:sz w:val="24"/>
        </w:rPr>
        <w:t>bi</w:t>
      </w:r>
      <w:r>
        <w:rPr>
          <w:rFonts w:ascii="Arial" w:hAnsi="Arial" w:cs="Arial"/>
          <w:sz w:val="24"/>
        </w:rPr>
        <w:t xml:space="preserve">s </w:t>
      </w:r>
      <w:r w:rsidR="0056300C">
        <w:rPr>
          <w:rFonts w:ascii="Arial" w:hAnsi="Arial" w:cs="Arial"/>
          <w:sz w:val="24"/>
        </w:rPr>
        <w:t>28</w:t>
      </w:r>
      <w:r>
        <w:rPr>
          <w:rFonts w:ascii="Arial" w:hAnsi="Arial" w:cs="Arial"/>
          <w:sz w:val="24"/>
        </w:rPr>
        <w:t xml:space="preserve">. </w:t>
      </w:r>
      <w:r w:rsidR="0056300C">
        <w:rPr>
          <w:rFonts w:ascii="Arial" w:hAnsi="Arial" w:cs="Arial"/>
          <w:sz w:val="24"/>
        </w:rPr>
        <w:t>Februar</w:t>
      </w:r>
      <w:r>
        <w:rPr>
          <w:rFonts w:ascii="Arial" w:hAnsi="Arial" w:cs="Arial"/>
          <w:sz w:val="24"/>
        </w:rPr>
        <w:t xml:space="preserve"> </w:t>
      </w:r>
      <w:r w:rsidR="004E3198">
        <w:rPr>
          <w:rFonts w:ascii="Arial" w:hAnsi="Arial" w:cs="Arial"/>
          <w:sz w:val="24"/>
        </w:rPr>
        <w:t xml:space="preserve">2025 </w:t>
      </w:r>
      <w:r>
        <w:rPr>
          <w:rFonts w:ascii="Arial" w:hAnsi="Arial" w:cs="Arial"/>
          <w:sz w:val="24"/>
        </w:rPr>
        <w:t>zeigt</w:t>
      </w:r>
      <w:r w:rsidR="000E5319">
        <w:rPr>
          <w:rFonts w:ascii="Arial" w:hAnsi="Arial" w:cs="Arial"/>
          <w:sz w:val="24"/>
        </w:rPr>
        <w:t>e</w:t>
      </w:r>
      <w:r>
        <w:rPr>
          <w:rFonts w:ascii="Arial" w:hAnsi="Arial" w:cs="Arial"/>
          <w:sz w:val="24"/>
        </w:rPr>
        <w:t xml:space="preserve"> sich ein mit </w:t>
      </w:r>
      <w:r w:rsidR="007F4794">
        <w:rPr>
          <w:rFonts w:ascii="Arial" w:hAnsi="Arial" w:cs="Arial"/>
          <w:sz w:val="24"/>
        </w:rPr>
        <w:t>2,4</w:t>
      </w:r>
      <w:r>
        <w:rPr>
          <w:rFonts w:ascii="Arial" w:hAnsi="Arial" w:cs="Arial"/>
          <w:sz w:val="24"/>
        </w:rPr>
        <w:t xml:space="preserve"> °C um </w:t>
      </w:r>
      <w:r w:rsidR="0056300C">
        <w:rPr>
          <w:rFonts w:ascii="Arial" w:hAnsi="Arial" w:cs="Arial"/>
          <w:sz w:val="24"/>
        </w:rPr>
        <w:t>2,0</w:t>
      </w:r>
      <w:r>
        <w:rPr>
          <w:rFonts w:ascii="Arial" w:hAnsi="Arial" w:cs="Arial"/>
          <w:sz w:val="24"/>
        </w:rPr>
        <w:t xml:space="preserve"> K zu warmer Zeitraum im Vergleich zur Referenzperiode von 1961 bis 1990. Auch im Vergleich zum neueren 30-Jahreszeitraum von 1991 bis 2020 war es noch um </w:t>
      </w:r>
      <w:r w:rsidR="0056300C">
        <w:rPr>
          <w:rFonts w:ascii="Arial" w:hAnsi="Arial" w:cs="Arial"/>
          <w:sz w:val="24"/>
        </w:rPr>
        <w:t>0,8</w:t>
      </w:r>
      <w:r>
        <w:rPr>
          <w:rFonts w:ascii="Arial" w:hAnsi="Arial" w:cs="Arial"/>
          <w:sz w:val="24"/>
        </w:rPr>
        <w:t> K wärmer als üblich.</w:t>
      </w:r>
      <w:r w:rsidR="0056300C">
        <w:rPr>
          <w:rFonts w:ascii="Arial" w:hAnsi="Arial" w:cs="Arial"/>
          <w:sz w:val="24"/>
        </w:rPr>
        <w:t xml:space="preserve"> Eine jeweils sehr winterliche Woche im Januar und Februar konnten die übe</w:t>
      </w:r>
      <w:bookmarkStart w:id="0" w:name="_GoBack"/>
      <w:bookmarkEnd w:id="0"/>
      <w:r w:rsidR="0056300C">
        <w:rPr>
          <w:rFonts w:ascii="Arial" w:hAnsi="Arial" w:cs="Arial"/>
          <w:sz w:val="24"/>
        </w:rPr>
        <w:t xml:space="preserve">rwiegend milden übrigen Winterwochen nicht ansatzweise ausgleichen. Damit war der Winter der 12. </w:t>
      </w:r>
      <w:r w:rsidR="00713B67">
        <w:rPr>
          <w:rFonts w:ascii="Arial" w:hAnsi="Arial" w:cs="Arial"/>
          <w:sz w:val="24"/>
        </w:rPr>
        <w:t>z</w:t>
      </w:r>
      <w:r w:rsidR="0056300C">
        <w:rPr>
          <w:rFonts w:ascii="Arial" w:hAnsi="Arial" w:cs="Arial"/>
          <w:sz w:val="24"/>
        </w:rPr>
        <w:t>u warme in Folge nach dem Mittel der Referenzperiode von 1961 bis 1990.</w:t>
      </w:r>
      <w:r>
        <w:rPr>
          <w:rFonts w:ascii="Arial" w:hAnsi="Arial" w:cs="Arial"/>
          <w:sz w:val="24"/>
        </w:rPr>
        <w:t xml:space="preserve"> </w:t>
      </w:r>
    </w:p>
    <w:p w14:paraId="7951FFF5" w14:textId="77777777" w:rsidR="00F022D8" w:rsidRDefault="00F022D8" w:rsidP="00F022D8">
      <w:pPr>
        <w:spacing w:after="0"/>
        <w:rPr>
          <w:rFonts w:ascii="Arial" w:hAnsi="Arial" w:cs="Arial"/>
          <w:sz w:val="24"/>
        </w:rPr>
      </w:pPr>
    </w:p>
    <w:p w14:paraId="59D5413F" w14:textId="287FD93D" w:rsidR="00F022D8" w:rsidRDefault="00CE153D" w:rsidP="00E63282">
      <w:pPr>
        <w:spacing w:after="0"/>
        <w:rPr>
          <w:rFonts w:ascii="Arial" w:hAnsi="Arial" w:cs="Arial"/>
          <w:sz w:val="24"/>
        </w:rPr>
      </w:pPr>
      <w:r>
        <w:rPr>
          <w:rFonts w:ascii="Arial" w:hAnsi="Arial" w:cs="Arial"/>
          <w:sz w:val="24"/>
        </w:rPr>
        <w:t xml:space="preserve">In den letzten drei Monaten fielen insgesamt </w:t>
      </w:r>
      <w:r w:rsidR="007F4794">
        <w:rPr>
          <w:rFonts w:ascii="Arial" w:hAnsi="Arial" w:cs="Arial"/>
          <w:sz w:val="24"/>
        </w:rPr>
        <w:t>108,0</w:t>
      </w:r>
      <w:r>
        <w:rPr>
          <w:rFonts w:ascii="Arial" w:hAnsi="Arial" w:cs="Arial"/>
          <w:sz w:val="24"/>
        </w:rPr>
        <w:t xml:space="preserve"> mm Niederschlag im Flächenmittel über Sachsen-Anhalt. </w:t>
      </w:r>
      <w:r w:rsidR="00E63282">
        <w:rPr>
          <w:rFonts w:ascii="Arial" w:hAnsi="Arial" w:cs="Arial"/>
          <w:sz w:val="24"/>
        </w:rPr>
        <w:t xml:space="preserve">Als Folge des wiederholten Hochdruckeinflusses blieb es somit mit 90,6 % trockener als in der Referenzperiode von 1961 bis 1990 üblich. Im Vergleich zum Mittel 1991 bis 2020 wurden lediglich 85,6 % der normalen Niederschlagsmenge erreicht. Besonders trocken war es dabei im südlichen Sachsen-Anhalt. So fiel in Bad Lauchstädt mit 63,2 mm </w:t>
      </w:r>
      <w:r w:rsidR="004E3198">
        <w:rPr>
          <w:rFonts w:ascii="Arial" w:hAnsi="Arial" w:cs="Arial"/>
          <w:sz w:val="24"/>
        </w:rPr>
        <w:t>der wenigste</w:t>
      </w:r>
      <w:r w:rsidR="00E63282">
        <w:rPr>
          <w:rFonts w:ascii="Arial" w:hAnsi="Arial" w:cs="Arial"/>
          <w:sz w:val="24"/>
        </w:rPr>
        <w:t xml:space="preserve"> Niederschlag, nicht nur in Sachsen-Anhalt, sondern in ganz Deutschland. Nur im Harz und </w:t>
      </w:r>
      <w:r w:rsidR="004E3198">
        <w:rPr>
          <w:rFonts w:ascii="Arial" w:hAnsi="Arial" w:cs="Arial"/>
          <w:sz w:val="24"/>
        </w:rPr>
        <w:t xml:space="preserve">seinem </w:t>
      </w:r>
      <w:r w:rsidR="00E63282">
        <w:rPr>
          <w:rFonts w:ascii="Arial" w:hAnsi="Arial" w:cs="Arial"/>
          <w:sz w:val="24"/>
        </w:rPr>
        <w:t>direkte</w:t>
      </w:r>
      <w:r w:rsidR="004E3198">
        <w:rPr>
          <w:rFonts w:ascii="Arial" w:hAnsi="Arial" w:cs="Arial"/>
          <w:sz w:val="24"/>
        </w:rPr>
        <w:t>n</w:t>
      </w:r>
      <w:r w:rsidR="00E63282">
        <w:rPr>
          <w:rFonts w:ascii="Arial" w:hAnsi="Arial" w:cs="Arial"/>
          <w:sz w:val="24"/>
        </w:rPr>
        <w:t xml:space="preserve"> Umfeld wurde das Niederschlagssoll des Winters erreicht. </w:t>
      </w:r>
    </w:p>
    <w:p w14:paraId="5C95C981" w14:textId="77777777" w:rsidR="00202D05" w:rsidRPr="00F022D8" w:rsidRDefault="00202D05" w:rsidP="00E448F0">
      <w:pPr>
        <w:spacing w:after="0"/>
        <w:rPr>
          <w:rFonts w:ascii="Arial" w:hAnsi="Arial" w:cs="Arial"/>
          <w:sz w:val="24"/>
        </w:rPr>
      </w:pPr>
    </w:p>
    <w:p w14:paraId="469B9D39" w14:textId="16F87FB2" w:rsidR="007C2D02" w:rsidRDefault="00EC24E9" w:rsidP="00F022D8">
      <w:pPr>
        <w:spacing w:after="0"/>
        <w:rPr>
          <w:rFonts w:ascii="Arial" w:hAnsi="Arial" w:cs="Arial"/>
          <w:sz w:val="24"/>
        </w:rPr>
      </w:pPr>
      <w:r w:rsidRPr="00F022D8">
        <w:rPr>
          <w:rFonts w:ascii="Arial" w:hAnsi="Arial" w:cs="Arial"/>
          <w:sz w:val="24"/>
        </w:rPr>
        <w:t>Während des</w:t>
      </w:r>
      <w:r w:rsidR="004B140B" w:rsidRPr="00F022D8">
        <w:rPr>
          <w:rFonts w:ascii="Arial" w:hAnsi="Arial" w:cs="Arial"/>
          <w:sz w:val="24"/>
        </w:rPr>
        <w:t xml:space="preserve"> </w:t>
      </w:r>
      <w:r w:rsidR="005727EE">
        <w:rPr>
          <w:rFonts w:ascii="Arial" w:hAnsi="Arial" w:cs="Arial"/>
          <w:sz w:val="24"/>
        </w:rPr>
        <w:t>Winter</w:t>
      </w:r>
      <w:r w:rsidR="00E21536">
        <w:rPr>
          <w:rFonts w:ascii="Arial" w:hAnsi="Arial" w:cs="Arial"/>
          <w:sz w:val="24"/>
        </w:rPr>
        <w:t>s</w:t>
      </w:r>
      <w:r w:rsidR="004B140B" w:rsidRPr="00F022D8">
        <w:rPr>
          <w:rFonts w:ascii="Arial" w:hAnsi="Arial" w:cs="Arial"/>
          <w:sz w:val="24"/>
        </w:rPr>
        <w:t xml:space="preserve"> </w:t>
      </w:r>
      <w:r w:rsidRPr="00F022D8">
        <w:rPr>
          <w:rFonts w:ascii="Arial" w:hAnsi="Arial" w:cs="Arial"/>
          <w:sz w:val="24"/>
        </w:rPr>
        <w:t>schien die Sonne in Sachsen-Anhalt</w:t>
      </w:r>
      <w:r w:rsidR="004B140B" w:rsidRPr="00F022D8">
        <w:rPr>
          <w:rFonts w:ascii="Arial" w:hAnsi="Arial" w:cs="Arial"/>
          <w:sz w:val="24"/>
        </w:rPr>
        <w:t xml:space="preserve"> </w:t>
      </w:r>
      <w:r w:rsidR="007F4794">
        <w:rPr>
          <w:rFonts w:ascii="Arial" w:hAnsi="Arial" w:cs="Arial"/>
          <w:sz w:val="24"/>
        </w:rPr>
        <w:t>179,4</w:t>
      </w:r>
      <w:r w:rsidR="00212749" w:rsidRPr="00F022D8">
        <w:rPr>
          <w:rFonts w:ascii="Arial" w:hAnsi="Arial" w:cs="Arial"/>
          <w:sz w:val="24"/>
        </w:rPr>
        <w:t xml:space="preserve"> </w:t>
      </w:r>
      <w:r w:rsidR="00202D05">
        <w:rPr>
          <w:rFonts w:ascii="Arial" w:hAnsi="Arial" w:cs="Arial"/>
          <w:sz w:val="24"/>
        </w:rPr>
        <w:t>S</w:t>
      </w:r>
      <w:r w:rsidR="00212749" w:rsidRPr="00F022D8">
        <w:rPr>
          <w:rFonts w:ascii="Arial" w:hAnsi="Arial" w:cs="Arial"/>
          <w:sz w:val="24"/>
        </w:rPr>
        <w:t>tunden</w:t>
      </w:r>
      <w:r w:rsidR="004B140B" w:rsidRPr="00F022D8">
        <w:rPr>
          <w:rFonts w:ascii="Arial" w:hAnsi="Arial" w:cs="Arial"/>
          <w:sz w:val="24"/>
        </w:rPr>
        <w:t xml:space="preserve">. </w:t>
      </w:r>
      <w:r w:rsidR="00E21536">
        <w:rPr>
          <w:rFonts w:ascii="Arial" w:hAnsi="Arial" w:cs="Arial"/>
          <w:sz w:val="24"/>
        </w:rPr>
        <w:t xml:space="preserve">Damit war der </w:t>
      </w:r>
      <w:r w:rsidR="005727EE">
        <w:rPr>
          <w:rFonts w:ascii="Arial" w:hAnsi="Arial" w:cs="Arial"/>
          <w:sz w:val="24"/>
        </w:rPr>
        <w:t>Winter</w:t>
      </w:r>
      <w:r w:rsidR="00E21536">
        <w:rPr>
          <w:rFonts w:ascii="Arial" w:hAnsi="Arial" w:cs="Arial"/>
          <w:sz w:val="24"/>
        </w:rPr>
        <w:t xml:space="preserve"> mit 1</w:t>
      </w:r>
      <w:r w:rsidR="005727EE">
        <w:rPr>
          <w:rFonts w:ascii="Arial" w:hAnsi="Arial" w:cs="Arial"/>
          <w:sz w:val="24"/>
        </w:rPr>
        <w:t>23</w:t>
      </w:r>
      <w:r w:rsidR="00E21536">
        <w:rPr>
          <w:rFonts w:ascii="Arial" w:hAnsi="Arial" w:cs="Arial"/>
          <w:sz w:val="24"/>
        </w:rPr>
        <w:t>,</w:t>
      </w:r>
      <w:r w:rsidR="005727EE">
        <w:rPr>
          <w:rFonts w:ascii="Arial" w:hAnsi="Arial" w:cs="Arial"/>
          <w:sz w:val="24"/>
        </w:rPr>
        <w:t>4</w:t>
      </w:r>
      <w:r w:rsidR="00E21536">
        <w:rPr>
          <w:rFonts w:ascii="Arial" w:hAnsi="Arial" w:cs="Arial"/>
          <w:sz w:val="24"/>
        </w:rPr>
        <w:t> % im Vergleich zur Ref</w:t>
      </w:r>
      <w:r w:rsidR="005727EE">
        <w:rPr>
          <w:rFonts w:ascii="Arial" w:hAnsi="Arial" w:cs="Arial"/>
          <w:sz w:val="24"/>
        </w:rPr>
        <w:t>erenzperiode von 1961 bis 1990 der sonnigste Winter seit sechs Jahren.</w:t>
      </w:r>
      <w:r w:rsidR="00E21536">
        <w:rPr>
          <w:rFonts w:ascii="Arial" w:hAnsi="Arial" w:cs="Arial"/>
          <w:sz w:val="24"/>
        </w:rPr>
        <w:t xml:space="preserve"> </w:t>
      </w:r>
      <w:r w:rsidR="005727EE">
        <w:rPr>
          <w:rFonts w:ascii="Arial" w:hAnsi="Arial" w:cs="Arial"/>
          <w:sz w:val="24"/>
        </w:rPr>
        <w:t>A</w:t>
      </w:r>
      <w:r w:rsidR="00E21536">
        <w:rPr>
          <w:rFonts w:ascii="Arial" w:hAnsi="Arial" w:cs="Arial"/>
          <w:sz w:val="24"/>
        </w:rPr>
        <w:t>uch im Vergleich zum Klimazeitraum von 1991 bis 2020 wurden noch 10</w:t>
      </w:r>
      <w:r w:rsidR="005727EE">
        <w:rPr>
          <w:rFonts w:ascii="Arial" w:hAnsi="Arial" w:cs="Arial"/>
          <w:sz w:val="24"/>
        </w:rPr>
        <w:t>3</w:t>
      </w:r>
      <w:r w:rsidR="00E21536">
        <w:rPr>
          <w:rFonts w:ascii="Arial" w:hAnsi="Arial" w:cs="Arial"/>
          <w:sz w:val="24"/>
        </w:rPr>
        <w:t>,</w:t>
      </w:r>
      <w:r w:rsidR="005727EE">
        <w:rPr>
          <w:rFonts w:ascii="Arial" w:hAnsi="Arial" w:cs="Arial"/>
          <w:sz w:val="24"/>
        </w:rPr>
        <w:t>8</w:t>
      </w:r>
      <w:r w:rsidR="00E21536">
        <w:rPr>
          <w:rFonts w:ascii="Arial" w:hAnsi="Arial" w:cs="Arial"/>
          <w:sz w:val="24"/>
        </w:rPr>
        <w:t xml:space="preserve"> % erreicht. Maßgeblich dazu beigetragen hat der sehr sonnige </w:t>
      </w:r>
      <w:r w:rsidR="005727EE">
        <w:rPr>
          <w:rFonts w:ascii="Arial" w:hAnsi="Arial" w:cs="Arial"/>
          <w:sz w:val="24"/>
        </w:rPr>
        <w:t>Februar</w:t>
      </w:r>
      <w:r w:rsidR="00E21536">
        <w:rPr>
          <w:rFonts w:ascii="Arial" w:hAnsi="Arial" w:cs="Arial"/>
          <w:sz w:val="24"/>
        </w:rPr>
        <w:t xml:space="preserve">, der </w:t>
      </w:r>
      <w:r w:rsidR="005727EE">
        <w:rPr>
          <w:rFonts w:ascii="Arial" w:hAnsi="Arial" w:cs="Arial"/>
          <w:sz w:val="24"/>
        </w:rPr>
        <w:t>die beiden anderen, nicht so sonnigen Wintermonate mehr</w:t>
      </w:r>
      <w:r w:rsidR="00E21536">
        <w:rPr>
          <w:rFonts w:ascii="Arial" w:hAnsi="Arial" w:cs="Arial"/>
          <w:sz w:val="24"/>
        </w:rPr>
        <w:t xml:space="preserve"> als ausgleichen konnte.</w:t>
      </w:r>
    </w:p>
    <w:p w14:paraId="72F466A4" w14:textId="77777777" w:rsidR="00694559" w:rsidRDefault="00694559" w:rsidP="00F022D8">
      <w:pPr>
        <w:spacing w:after="0"/>
        <w:rPr>
          <w:rFonts w:ascii="Arial" w:hAnsi="Arial" w:cs="Arial"/>
          <w:sz w:val="24"/>
        </w:rPr>
      </w:pPr>
    </w:p>
    <w:p w14:paraId="68B7F531" w14:textId="64427140" w:rsidR="000F70C1" w:rsidRPr="006508CB" w:rsidRDefault="000F70C1" w:rsidP="00F022D8">
      <w:pPr>
        <w:spacing w:after="0"/>
        <w:rPr>
          <w:rFonts w:ascii="Arial" w:hAnsi="Arial" w:cs="Arial"/>
          <w:sz w:val="24"/>
        </w:rPr>
      </w:pPr>
      <w:r w:rsidRPr="000F70C1">
        <w:rPr>
          <w:rFonts w:ascii="Arial" w:hAnsi="Arial" w:cs="Arial"/>
          <w:b/>
          <w:sz w:val="24"/>
        </w:rPr>
        <w:t xml:space="preserve">Der </w:t>
      </w:r>
      <w:r w:rsidR="00071846">
        <w:rPr>
          <w:rFonts w:ascii="Arial" w:hAnsi="Arial" w:cs="Arial"/>
          <w:b/>
          <w:sz w:val="24"/>
        </w:rPr>
        <w:t>Winter</w:t>
      </w:r>
      <w:r w:rsidRPr="000F70C1">
        <w:rPr>
          <w:rFonts w:ascii="Arial" w:hAnsi="Arial" w:cs="Arial"/>
          <w:b/>
          <w:sz w:val="24"/>
        </w:rPr>
        <w:t xml:space="preserve"> 2024</w:t>
      </w:r>
      <w:r w:rsidR="00071846">
        <w:rPr>
          <w:rFonts w:ascii="Arial" w:hAnsi="Arial" w:cs="Arial"/>
          <w:b/>
          <w:sz w:val="24"/>
        </w:rPr>
        <w:t>/2025</w:t>
      </w:r>
      <w:r w:rsidRPr="000F70C1">
        <w:rPr>
          <w:rFonts w:ascii="Arial" w:hAnsi="Arial" w:cs="Arial"/>
          <w:b/>
          <w:sz w:val="24"/>
        </w:rPr>
        <w:t xml:space="preserve"> aus Sicht der Erneuerbaren Energ</w:t>
      </w:r>
      <w:r w:rsidRPr="00E53E74">
        <w:rPr>
          <w:rFonts w:ascii="Arial" w:hAnsi="Arial" w:cs="Arial"/>
          <w:b/>
          <w:sz w:val="24"/>
        </w:rPr>
        <w:t>ien</w:t>
      </w:r>
    </w:p>
    <w:p w14:paraId="36451936" w14:textId="60BC2FDE" w:rsidR="00126D0B" w:rsidRPr="006508CB" w:rsidRDefault="00126D0B" w:rsidP="00F022D8">
      <w:pPr>
        <w:spacing w:after="0"/>
        <w:rPr>
          <w:rFonts w:ascii="Arial" w:hAnsi="Arial" w:cs="Arial"/>
          <w:sz w:val="24"/>
        </w:rPr>
      </w:pPr>
      <w:r w:rsidRPr="006508CB">
        <w:rPr>
          <w:rFonts w:ascii="Arial" w:hAnsi="Arial" w:cs="Arial"/>
          <w:sz w:val="24"/>
        </w:rPr>
        <w:t>In dieser Analyse erfolgt eine ausschließliche Betrachtung der Erneuerbaren Energiequellen zur Stromerzeugung</w:t>
      </w:r>
      <w:r w:rsidR="00021823">
        <w:rPr>
          <w:rFonts w:ascii="Arial" w:hAnsi="Arial" w:cs="Arial"/>
          <w:sz w:val="24"/>
        </w:rPr>
        <w:t>,</w:t>
      </w:r>
      <w:r w:rsidRPr="006508CB">
        <w:rPr>
          <w:rFonts w:ascii="Arial" w:hAnsi="Arial" w:cs="Arial"/>
          <w:sz w:val="24"/>
        </w:rPr>
        <w:t xml:space="preserve"> die durch meteorologische Bedingungen beeinflusst sind</w:t>
      </w:r>
      <w:r w:rsidR="00C866E6">
        <w:rPr>
          <w:rFonts w:ascii="Arial" w:hAnsi="Arial" w:cs="Arial"/>
          <w:sz w:val="24"/>
        </w:rPr>
        <w:t xml:space="preserve"> (volatil)</w:t>
      </w:r>
      <w:r w:rsidRPr="006508CB">
        <w:rPr>
          <w:rFonts w:ascii="Arial" w:hAnsi="Arial" w:cs="Arial"/>
          <w:sz w:val="24"/>
        </w:rPr>
        <w:t xml:space="preserve">, also Windenergie und </w:t>
      </w:r>
      <w:r w:rsidR="00E625E2">
        <w:rPr>
          <w:rFonts w:ascii="Arial" w:hAnsi="Arial" w:cs="Arial"/>
          <w:sz w:val="24"/>
        </w:rPr>
        <w:t>Ph</w:t>
      </w:r>
      <w:r w:rsidRPr="006508CB">
        <w:rPr>
          <w:rFonts w:ascii="Arial" w:hAnsi="Arial" w:cs="Arial"/>
          <w:sz w:val="24"/>
        </w:rPr>
        <w:t>otovoltaik.</w:t>
      </w:r>
    </w:p>
    <w:p w14:paraId="03834515" w14:textId="4BBDBD3B" w:rsidR="008266EF" w:rsidRDefault="00A62068" w:rsidP="003E2329">
      <w:pPr>
        <w:rPr>
          <w:rFonts w:ascii="Arial" w:hAnsi="Arial" w:cs="Arial"/>
          <w:sz w:val="24"/>
        </w:rPr>
      </w:pPr>
      <w:r>
        <w:rPr>
          <w:rFonts w:ascii="Arial" w:hAnsi="Arial" w:cs="Arial"/>
          <w:sz w:val="24"/>
        </w:rPr>
        <w:lastRenderedPageBreak/>
        <w:t xml:space="preserve">Als </w:t>
      </w:r>
      <w:r w:rsidR="000F70C1">
        <w:rPr>
          <w:rFonts w:ascii="Arial" w:hAnsi="Arial" w:cs="Arial"/>
          <w:sz w:val="24"/>
        </w:rPr>
        <w:t>Berechnungsgrundlage</w:t>
      </w:r>
      <w:r>
        <w:rPr>
          <w:rFonts w:ascii="Arial" w:hAnsi="Arial" w:cs="Arial"/>
          <w:sz w:val="24"/>
        </w:rPr>
        <w:t xml:space="preserve"> der folgenden </w:t>
      </w:r>
      <w:r w:rsidR="009C37E8">
        <w:rPr>
          <w:rFonts w:ascii="Arial" w:hAnsi="Arial" w:cs="Arial"/>
          <w:sz w:val="24"/>
        </w:rPr>
        <w:t>Auswertung</w:t>
      </w:r>
      <w:r>
        <w:rPr>
          <w:rFonts w:ascii="Arial" w:hAnsi="Arial" w:cs="Arial"/>
          <w:sz w:val="24"/>
        </w:rPr>
        <w:t xml:space="preserve"> dient </w:t>
      </w:r>
      <w:r w:rsidR="000F70C1">
        <w:rPr>
          <w:rFonts w:ascii="Arial" w:hAnsi="Arial" w:cs="Arial"/>
          <w:sz w:val="24"/>
        </w:rPr>
        <w:t xml:space="preserve">die produzierte </w:t>
      </w:r>
      <w:r w:rsidR="004100C3">
        <w:rPr>
          <w:rFonts w:ascii="Arial" w:hAnsi="Arial" w:cs="Arial"/>
          <w:sz w:val="24"/>
        </w:rPr>
        <w:t xml:space="preserve">elektrische </w:t>
      </w:r>
      <w:r w:rsidR="004D348A">
        <w:rPr>
          <w:rFonts w:ascii="Arial" w:hAnsi="Arial" w:cs="Arial"/>
          <w:sz w:val="24"/>
        </w:rPr>
        <w:t xml:space="preserve">Arbeit </w:t>
      </w:r>
      <w:r w:rsidR="000F70C1">
        <w:rPr>
          <w:rFonts w:ascii="Arial" w:hAnsi="Arial" w:cs="Arial"/>
          <w:sz w:val="24"/>
        </w:rPr>
        <w:t xml:space="preserve">im Tagesmittel im Gebiet Ostdeutschlands und Hamburgs (Gebiet des </w:t>
      </w:r>
      <w:r w:rsidR="004100C3">
        <w:rPr>
          <w:rFonts w:ascii="Arial" w:hAnsi="Arial" w:cs="Arial"/>
          <w:sz w:val="24"/>
        </w:rPr>
        <w:t>Übertragungsnetzbetreibers</w:t>
      </w:r>
      <w:r w:rsidR="000F70C1">
        <w:rPr>
          <w:rFonts w:ascii="Arial" w:hAnsi="Arial" w:cs="Arial"/>
          <w:sz w:val="24"/>
        </w:rPr>
        <w:t xml:space="preserve"> 50Hertz)</w:t>
      </w:r>
      <w:r w:rsidR="00850311">
        <w:rPr>
          <w:rFonts w:ascii="Arial" w:hAnsi="Arial" w:cs="Arial"/>
          <w:sz w:val="24"/>
        </w:rPr>
        <w:t>. Die</w:t>
      </w:r>
      <w:r w:rsidR="00FB6F2E">
        <w:rPr>
          <w:rFonts w:ascii="Arial" w:hAnsi="Arial" w:cs="Arial"/>
          <w:sz w:val="24"/>
        </w:rPr>
        <w:t xml:space="preserve"> produzierte </w:t>
      </w:r>
      <w:r w:rsidR="004D348A">
        <w:rPr>
          <w:rFonts w:ascii="Arial" w:hAnsi="Arial" w:cs="Arial"/>
          <w:sz w:val="24"/>
        </w:rPr>
        <w:t xml:space="preserve">Arbeit </w:t>
      </w:r>
      <w:r w:rsidR="00850311">
        <w:rPr>
          <w:rFonts w:ascii="Arial" w:hAnsi="Arial" w:cs="Arial"/>
          <w:sz w:val="24"/>
        </w:rPr>
        <w:t>wurde ins Verhältnis zur installierten Leistung gesetzt</w:t>
      </w:r>
      <w:r w:rsidR="00093C36">
        <w:rPr>
          <w:rFonts w:ascii="Arial" w:hAnsi="Arial" w:cs="Arial"/>
          <w:sz w:val="24"/>
        </w:rPr>
        <w:t xml:space="preserve"> und </w:t>
      </w:r>
      <w:r w:rsidR="00D1761F">
        <w:rPr>
          <w:rFonts w:ascii="Arial" w:hAnsi="Arial" w:cs="Arial"/>
          <w:sz w:val="24"/>
        </w:rPr>
        <w:t>so die Auslastung berechnet.</w:t>
      </w:r>
      <w:r w:rsidR="004100C3">
        <w:rPr>
          <w:rFonts w:ascii="Arial" w:hAnsi="Arial" w:cs="Arial"/>
          <w:sz w:val="24"/>
        </w:rPr>
        <w:t xml:space="preserve"> Diese Auslastung wurde für die Jahreszeit gemittelt. </w:t>
      </w:r>
      <w:r w:rsidR="00126D0B">
        <w:rPr>
          <w:rFonts w:ascii="Arial" w:hAnsi="Arial" w:cs="Arial"/>
          <w:sz w:val="24"/>
        </w:rPr>
        <w:t>Darüber hinaus wurde ein</w:t>
      </w:r>
      <w:r w:rsidR="00093C36">
        <w:rPr>
          <w:rFonts w:ascii="Arial" w:hAnsi="Arial" w:cs="Arial"/>
          <w:sz w:val="24"/>
        </w:rPr>
        <w:t xml:space="preserve"> 10-jähriges Mittel </w:t>
      </w:r>
      <w:r w:rsidR="00597682">
        <w:rPr>
          <w:rFonts w:ascii="Arial" w:hAnsi="Arial" w:cs="Arial"/>
          <w:sz w:val="24"/>
        </w:rPr>
        <w:t xml:space="preserve">über den Zeitraum von 2010 bis 2019 </w:t>
      </w:r>
      <w:r w:rsidR="00093C36" w:rsidRPr="0082772D">
        <w:rPr>
          <w:rFonts w:ascii="Arial" w:hAnsi="Arial" w:cs="Arial"/>
          <w:sz w:val="24"/>
          <w:szCs w:val="24"/>
        </w:rPr>
        <w:t>gebildet.</w:t>
      </w:r>
      <w:r w:rsidR="0082772D" w:rsidRPr="0082772D">
        <w:rPr>
          <w:rFonts w:ascii="Arial" w:hAnsi="Arial" w:cs="Arial"/>
          <w:sz w:val="24"/>
          <w:szCs w:val="24"/>
        </w:rPr>
        <w:t xml:space="preserve"> Die Auslastung der betrachteten Jahreszeit des aktuellen Jahres wird ins Verhältnis zur Auslastung im 10-jährigen Mittel für diese Jahreszeit gesetzt. Dies Verhältnis wird im Folgenden als Ertrag bezeichnet.</w:t>
      </w:r>
      <w:r w:rsidR="00093C36" w:rsidRPr="0082772D">
        <w:rPr>
          <w:rFonts w:ascii="Arial" w:hAnsi="Arial" w:cs="Arial"/>
          <w:sz w:val="24"/>
          <w:szCs w:val="24"/>
        </w:rPr>
        <w:t xml:space="preserve"> </w:t>
      </w:r>
    </w:p>
    <w:p w14:paraId="48049034" w14:textId="2E854D96" w:rsidR="007724A1" w:rsidRDefault="00850311" w:rsidP="003E2329">
      <w:pPr>
        <w:rPr>
          <w:rFonts w:ascii="Arial" w:hAnsi="Arial" w:cs="Arial"/>
          <w:sz w:val="24"/>
        </w:rPr>
      </w:pPr>
      <w:r>
        <w:rPr>
          <w:rFonts w:ascii="Arial" w:hAnsi="Arial" w:cs="Arial"/>
          <w:sz w:val="24"/>
        </w:rPr>
        <w:t xml:space="preserve">Im Sommer </w:t>
      </w:r>
      <w:r w:rsidR="004D348A">
        <w:rPr>
          <w:rFonts w:ascii="Arial" w:hAnsi="Arial" w:cs="Arial"/>
          <w:sz w:val="24"/>
        </w:rPr>
        <w:t>haben Solarenergieanlagen</w:t>
      </w:r>
      <w:r>
        <w:rPr>
          <w:rFonts w:ascii="Arial" w:hAnsi="Arial" w:cs="Arial"/>
          <w:sz w:val="24"/>
        </w:rPr>
        <w:t xml:space="preserve"> aufgrund des Sonnenstandes und der Tageslänge </w:t>
      </w:r>
      <w:r w:rsidR="006508CB">
        <w:rPr>
          <w:rFonts w:ascii="Arial" w:hAnsi="Arial" w:cs="Arial"/>
          <w:sz w:val="24"/>
        </w:rPr>
        <w:t>in der Regel</w:t>
      </w:r>
      <w:r>
        <w:rPr>
          <w:rFonts w:ascii="Arial" w:hAnsi="Arial" w:cs="Arial"/>
          <w:sz w:val="24"/>
        </w:rPr>
        <w:t xml:space="preserve"> </w:t>
      </w:r>
      <w:r w:rsidR="00F0457B">
        <w:rPr>
          <w:rFonts w:ascii="Arial" w:hAnsi="Arial" w:cs="Arial"/>
          <w:sz w:val="24"/>
        </w:rPr>
        <w:t xml:space="preserve">eine </w:t>
      </w:r>
      <w:r>
        <w:rPr>
          <w:rFonts w:ascii="Arial" w:hAnsi="Arial" w:cs="Arial"/>
          <w:sz w:val="24"/>
        </w:rPr>
        <w:t xml:space="preserve">größere Auslastung </w:t>
      </w:r>
      <w:r w:rsidR="00F0457B">
        <w:rPr>
          <w:rFonts w:ascii="Arial" w:hAnsi="Arial" w:cs="Arial"/>
          <w:sz w:val="24"/>
        </w:rPr>
        <w:t>als</w:t>
      </w:r>
      <w:r>
        <w:rPr>
          <w:rFonts w:ascii="Arial" w:hAnsi="Arial" w:cs="Arial"/>
          <w:sz w:val="24"/>
        </w:rPr>
        <w:t xml:space="preserve"> </w:t>
      </w:r>
      <w:r w:rsidR="004D348A">
        <w:rPr>
          <w:rFonts w:ascii="Arial" w:hAnsi="Arial" w:cs="Arial"/>
          <w:sz w:val="24"/>
        </w:rPr>
        <w:t>Windenergieanl</w:t>
      </w:r>
      <w:r w:rsidR="005C16A9">
        <w:rPr>
          <w:rFonts w:ascii="Arial" w:hAnsi="Arial" w:cs="Arial"/>
          <w:sz w:val="24"/>
        </w:rPr>
        <w:t>a</w:t>
      </w:r>
      <w:r w:rsidR="004D348A">
        <w:rPr>
          <w:rFonts w:ascii="Arial" w:hAnsi="Arial" w:cs="Arial"/>
          <w:sz w:val="24"/>
        </w:rPr>
        <w:t>gen</w:t>
      </w:r>
      <w:r>
        <w:rPr>
          <w:rFonts w:ascii="Arial" w:hAnsi="Arial" w:cs="Arial"/>
          <w:sz w:val="24"/>
        </w:rPr>
        <w:t>.</w:t>
      </w:r>
      <w:r w:rsidR="00AB7CD4">
        <w:rPr>
          <w:rFonts w:ascii="Arial" w:hAnsi="Arial" w:cs="Arial"/>
          <w:sz w:val="24"/>
        </w:rPr>
        <w:t xml:space="preserve"> Im Winter </w:t>
      </w:r>
      <w:r w:rsidR="00126D0B">
        <w:rPr>
          <w:rFonts w:ascii="Arial" w:hAnsi="Arial" w:cs="Arial"/>
          <w:sz w:val="24"/>
        </w:rPr>
        <w:t>tritt der gegenteilige Effekt auf</w:t>
      </w:r>
      <w:r w:rsidR="005E362F">
        <w:rPr>
          <w:rFonts w:ascii="Arial" w:hAnsi="Arial" w:cs="Arial"/>
          <w:sz w:val="24"/>
        </w:rPr>
        <w:t>,</w:t>
      </w:r>
      <w:r w:rsidR="00126D0B">
        <w:rPr>
          <w:rFonts w:ascii="Arial" w:hAnsi="Arial" w:cs="Arial"/>
          <w:sz w:val="24"/>
        </w:rPr>
        <w:t xml:space="preserve"> sodas</w:t>
      </w:r>
      <w:r w:rsidR="005E362F">
        <w:rPr>
          <w:rFonts w:ascii="Arial" w:hAnsi="Arial" w:cs="Arial"/>
          <w:sz w:val="24"/>
        </w:rPr>
        <w:t>s</w:t>
      </w:r>
      <w:r w:rsidR="00126D0B">
        <w:rPr>
          <w:rFonts w:ascii="Arial" w:hAnsi="Arial" w:cs="Arial"/>
          <w:sz w:val="24"/>
        </w:rPr>
        <w:t xml:space="preserve"> </w:t>
      </w:r>
      <w:r w:rsidR="004D348A">
        <w:rPr>
          <w:rFonts w:ascii="Arial" w:hAnsi="Arial" w:cs="Arial"/>
          <w:sz w:val="24"/>
        </w:rPr>
        <w:t>Windenergieanlagen</w:t>
      </w:r>
      <w:r w:rsidR="00126D0B">
        <w:rPr>
          <w:rFonts w:ascii="Arial" w:hAnsi="Arial" w:cs="Arial"/>
          <w:sz w:val="24"/>
        </w:rPr>
        <w:t xml:space="preserve"> </w:t>
      </w:r>
      <w:r w:rsidR="00AB7CD4">
        <w:rPr>
          <w:rFonts w:ascii="Arial" w:hAnsi="Arial" w:cs="Arial"/>
          <w:sz w:val="24"/>
        </w:rPr>
        <w:t>eine größere Auslastung</w:t>
      </w:r>
      <w:r w:rsidR="00126D0B">
        <w:rPr>
          <w:rFonts w:ascii="Arial" w:hAnsi="Arial" w:cs="Arial"/>
          <w:sz w:val="24"/>
        </w:rPr>
        <w:t xml:space="preserve"> haben</w:t>
      </w:r>
      <w:r w:rsidR="00AB7CD4">
        <w:rPr>
          <w:rFonts w:ascii="Arial" w:hAnsi="Arial" w:cs="Arial"/>
          <w:sz w:val="24"/>
        </w:rPr>
        <w:t xml:space="preserve">. </w:t>
      </w:r>
      <w:r w:rsidR="00126D0B">
        <w:rPr>
          <w:rFonts w:ascii="Arial" w:hAnsi="Arial" w:cs="Arial"/>
          <w:sz w:val="24"/>
        </w:rPr>
        <w:t xml:space="preserve">Somit ergänzen sich Windenergie und </w:t>
      </w:r>
      <w:r w:rsidR="00E625E2">
        <w:rPr>
          <w:rFonts w:ascii="Arial" w:hAnsi="Arial" w:cs="Arial"/>
          <w:sz w:val="24"/>
        </w:rPr>
        <w:t>Ph</w:t>
      </w:r>
      <w:r w:rsidR="00126D0B">
        <w:rPr>
          <w:rFonts w:ascii="Arial" w:hAnsi="Arial" w:cs="Arial"/>
          <w:sz w:val="24"/>
        </w:rPr>
        <w:t xml:space="preserve">otovoltaik im Jahresgang. </w:t>
      </w:r>
      <w:r w:rsidR="00AB7CD4">
        <w:rPr>
          <w:rFonts w:ascii="Arial" w:hAnsi="Arial" w:cs="Arial"/>
          <w:sz w:val="24"/>
        </w:rPr>
        <w:t xml:space="preserve">Der Herbst markiert dabei den Übergang zwischen den vorherrschenden Erzeugungsarten. Gerade in den Herbst- und Wintermonaten gibt es aber manchmal Phasen mit wenig Wind und </w:t>
      </w:r>
      <w:r w:rsidR="005C16A9">
        <w:rPr>
          <w:rFonts w:ascii="Arial" w:hAnsi="Arial" w:cs="Arial"/>
          <w:sz w:val="24"/>
        </w:rPr>
        <w:t xml:space="preserve">wenig </w:t>
      </w:r>
      <w:r w:rsidR="00AB7CD4">
        <w:rPr>
          <w:rFonts w:ascii="Arial" w:hAnsi="Arial" w:cs="Arial"/>
          <w:sz w:val="24"/>
        </w:rPr>
        <w:t>Sonnenschein.</w:t>
      </w:r>
      <w:r>
        <w:rPr>
          <w:rFonts w:ascii="Arial" w:hAnsi="Arial" w:cs="Arial"/>
          <w:sz w:val="24"/>
        </w:rPr>
        <w:t xml:space="preserve"> </w:t>
      </w:r>
    </w:p>
    <w:p w14:paraId="6B92F74B" w14:textId="50AC41D8" w:rsidR="007724A1" w:rsidRDefault="00AB7CD4" w:rsidP="003E2329">
      <w:pPr>
        <w:rPr>
          <w:rFonts w:ascii="Arial" w:hAnsi="Arial" w:cs="Arial"/>
          <w:sz w:val="24"/>
        </w:rPr>
      </w:pPr>
      <w:r>
        <w:rPr>
          <w:rFonts w:ascii="Arial" w:hAnsi="Arial" w:cs="Arial"/>
          <w:sz w:val="24"/>
        </w:rPr>
        <w:t xml:space="preserve">Der </w:t>
      </w:r>
      <w:r w:rsidR="004E565B">
        <w:rPr>
          <w:rFonts w:ascii="Arial" w:hAnsi="Arial" w:cs="Arial"/>
          <w:sz w:val="24"/>
        </w:rPr>
        <w:t xml:space="preserve">diesjährige </w:t>
      </w:r>
      <w:r w:rsidR="00117DE2">
        <w:rPr>
          <w:rFonts w:ascii="Arial" w:hAnsi="Arial" w:cs="Arial"/>
          <w:sz w:val="24"/>
        </w:rPr>
        <w:t xml:space="preserve">Dezember war ein wolkenreicher Monat, so dass nur an einzelnen Tagen der Ertrag deutlich über 100% stieg. Dies war lediglich am 01., 24. und 25.12.2024 der Fall. </w:t>
      </w:r>
      <w:r w:rsidR="00351FA2">
        <w:rPr>
          <w:rFonts w:ascii="Arial" w:hAnsi="Arial" w:cs="Arial"/>
          <w:sz w:val="24"/>
        </w:rPr>
        <w:t xml:space="preserve">Sonst überlagerten sich wenig Sonnenschein und wenig Wind </w:t>
      </w:r>
      <w:r w:rsidR="00973260">
        <w:rPr>
          <w:rFonts w:ascii="Arial" w:hAnsi="Arial" w:cs="Arial"/>
          <w:sz w:val="24"/>
        </w:rPr>
        <w:t>besonders am 11. und 12. Dezember</w:t>
      </w:r>
      <w:r w:rsidR="00351FA2">
        <w:rPr>
          <w:rFonts w:ascii="Arial" w:hAnsi="Arial" w:cs="Arial"/>
          <w:sz w:val="24"/>
        </w:rPr>
        <w:t>. Dagegen</w:t>
      </w:r>
      <w:r w:rsidR="00117DE2">
        <w:rPr>
          <w:rFonts w:ascii="Arial" w:hAnsi="Arial" w:cs="Arial"/>
          <w:sz w:val="24"/>
        </w:rPr>
        <w:t xml:space="preserve"> sorgte kräftiger Tiefdruckeinfluss im zweiten Monatsdrittel für reichlich Wind, sodass der Ertrag mehrere Tage am Stück um 200 % im Vergleich zum Mittel von 2010 bis 2019 betrug. </w:t>
      </w:r>
      <w:r w:rsidR="00351FA2">
        <w:rPr>
          <w:rFonts w:ascii="Arial" w:hAnsi="Arial" w:cs="Arial"/>
          <w:sz w:val="24"/>
        </w:rPr>
        <w:t>Somit ergänzten sich</w:t>
      </w:r>
      <w:r w:rsidR="00E9514A">
        <w:rPr>
          <w:rFonts w:ascii="Arial" w:hAnsi="Arial" w:cs="Arial"/>
          <w:sz w:val="24"/>
        </w:rPr>
        <w:t xml:space="preserve"> die </w:t>
      </w:r>
      <w:r w:rsidR="00C866E6">
        <w:rPr>
          <w:rFonts w:ascii="Arial" w:hAnsi="Arial" w:cs="Arial"/>
          <w:sz w:val="24"/>
        </w:rPr>
        <w:t>volatilen Energieträger</w:t>
      </w:r>
      <w:r w:rsidR="00351FA2">
        <w:rPr>
          <w:rFonts w:ascii="Arial" w:hAnsi="Arial" w:cs="Arial"/>
          <w:sz w:val="24"/>
        </w:rPr>
        <w:t xml:space="preserve"> nur teilweise im Dezember</w:t>
      </w:r>
      <w:r w:rsidR="00E9514A">
        <w:rPr>
          <w:rFonts w:ascii="Arial" w:hAnsi="Arial" w:cs="Arial"/>
          <w:sz w:val="24"/>
        </w:rPr>
        <w:t>.</w:t>
      </w:r>
    </w:p>
    <w:p w14:paraId="0DBB54FA" w14:textId="0F2BBAB4" w:rsidR="00597682" w:rsidRDefault="00597682" w:rsidP="003E2329">
      <w:pPr>
        <w:rPr>
          <w:rFonts w:ascii="Arial" w:hAnsi="Arial" w:cs="Arial"/>
          <w:sz w:val="24"/>
        </w:rPr>
      </w:pPr>
      <w:r>
        <w:rPr>
          <w:rFonts w:ascii="Arial" w:hAnsi="Arial" w:cs="Arial"/>
          <w:sz w:val="24"/>
        </w:rPr>
        <w:t xml:space="preserve">Der Januar war aus Sicht des Sonnenscheins ein durchschnittlicher Monat, es gab nur einzelne sonnenreiche Tage, </w:t>
      </w:r>
      <w:r w:rsidR="00973260">
        <w:rPr>
          <w:rFonts w:ascii="Arial" w:hAnsi="Arial" w:cs="Arial"/>
          <w:sz w:val="24"/>
        </w:rPr>
        <w:t xml:space="preserve">wie beispielsweise vom 19. bis 22. Januar </w:t>
      </w:r>
      <w:r>
        <w:rPr>
          <w:rFonts w:ascii="Arial" w:hAnsi="Arial" w:cs="Arial"/>
          <w:sz w:val="24"/>
        </w:rPr>
        <w:t xml:space="preserve">mit </w:t>
      </w:r>
      <w:r w:rsidR="004D4123">
        <w:rPr>
          <w:rFonts w:ascii="Arial" w:hAnsi="Arial" w:cs="Arial"/>
          <w:sz w:val="24"/>
        </w:rPr>
        <w:t xml:space="preserve">einem </w:t>
      </w:r>
      <w:r>
        <w:rPr>
          <w:rFonts w:ascii="Arial" w:hAnsi="Arial" w:cs="Arial"/>
          <w:sz w:val="24"/>
        </w:rPr>
        <w:t xml:space="preserve">Ertrag der Photovoltaikanlagen von über 200 % im Vergleich zum Mittel von 2010 bis 2019. In diesen Tagen war der Ertrag aus </w:t>
      </w:r>
      <w:r w:rsidR="00852800">
        <w:rPr>
          <w:rFonts w:ascii="Arial" w:hAnsi="Arial" w:cs="Arial"/>
          <w:sz w:val="24"/>
        </w:rPr>
        <w:t>der Windenergie</w:t>
      </w:r>
      <w:r>
        <w:rPr>
          <w:rFonts w:ascii="Arial" w:hAnsi="Arial" w:cs="Arial"/>
          <w:sz w:val="24"/>
        </w:rPr>
        <w:t xml:space="preserve"> sehr gering, so dass es in diesem Zeitraum </w:t>
      </w:r>
      <w:r w:rsidR="00E625E2">
        <w:rPr>
          <w:rFonts w:ascii="Arial" w:hAnsi="Arial" w:cs="Arial"/>
          <w:sz w:val="24"/>
        </w:rPr>
        <w:t xml:space="preserve">zumindest tagsüber </w:t>
      </w:r>
      <w:r>
        <w:rPr>
          <w:rFonts w:ascii="Arial" w:hAnsi="Arial" w:cs="Arial"/>
          <w:sz w:val="24"/>
        </w:rPr>
        <w:t>eine gute Ergänzung gab</w:t>
      </w:r>
      <w:r w:rsidR="00E625E2">
        <w:rPr>
          <w:rFonts w:ascii="Arial" w:hAnsi="Arial" w:cs="Arial"/>
          <w:sz w:val="24"/>
        </w:rPr>
        <w:t>, während nachts der Ertrag aus erneuerbaren Quellen nur gering war</w:t>
      </w:r>
      <w:r>
        <w:rPr>
          <w:rFonts w:ascii="Arial" w:hAnsi="Arial" w:cs="Arial"/>
          <w:sz w:val="24"/>
        </w:rPr>
        <w:t xml:space="preserve">. Insbesondere im ersten Monatsdrittel und im letzten Monatsdrittel zeigte sich ein Ertrag, der häufig zwischen 150 und 200 %, vom 24. bis 27. Januar sogar über 250 % lag. </w:t>
      </w:r>
    </w:p>
    <w:p w14:paraId="43B02597" w14:textId="6A83E384" w:rsidR="00850311" w:rsidRDefault="00597682" w:rsidP="003E2329">
      <w:pPr>
        <w:rPr>
          <w:rFonts w:ascii="Arial" w:hAnsi="Arial" w:cs="Arial"/>
          <w:sz w:val="24"/>
        </w:rPr>
      </w:pPr>
      <w:r>
        <w:rPr>
          <w:rFonts w:ascii="Arial" w:hAnsi="Arial" w:cs="Arial"/>
          <w:sz w:val="24"/>
        </w:rPr>
        <w:t xml:space="preserve">Ein sehr sonnenscheinreicher Monat war der Februar, insbesondere in den ersten Tagen des Monats und der zweiten Monatshälfte. Der Ertrag lag nur an einzelnen Tagen unter dem langjährigen Mittelwert von 2010 bis 2019. </w:t>
      </w:r>
      <w:r w:rsidR="003E580D">
        <w:rPr>
          <w:rFonts w:ascii="Arial" w:hAnsi="Arial" w:cs="Arial"/>
          <w:sz w:val="24"/>
        </w:rPr>
        <w:t>Umgekehrt stellt sich die Situation bzgl. der windgetriebenen Erneuerbaren Energien da</w:t>
      </w:r>
      <w:r w:rsidR="004D4123">
        <w:rPr>
          <w:rFonts w:ascii="Arial" w:hAnsi="Arial" w:cs="Arial"/>
          <w:sz w:val="24"/>
        </w:rPr>
        <w:t>r</w:t>
      </w:r>
      <w:r w:rsidR="003E580D">
        <w:rPr>
          <w:rFonts w:ascii="Arial" w:hAnsi="Arial" w:cs="Arial"/>
          <w:sz w:val="24"/>
        </w:rPr>
        <w:t xml:space="preserve">. Durch den dominierenden Hochdruckeinfluss wehte der Wind häufig nur schwach, sodass nur wenige Tage im Februar mehr als 100 % Ertrag lieferten. Hier ergänzten sich aber die beiden erneuerbaren Energieformen gut. Lediglich vom </w:t>
      </w:r>
      <w:r w:rsidR="00E625E2">
        <w:rPr>
          <w:rFonts w:ascii="Arial" w:hAnsi="Arial" w:cs="Arial"/>
          <w:sz w:val="24"/>
        </w:rPr>
        <w:t>14</w:t>
      </w:r>
      <w:r w:rsidR="003E580D">
        <w:rPr>
          <w:rFonts w:ascii="Arial" w:hAnsi="Arial" w:cs="Arial"/>
          <w:sz w:val="24"/>
        </w:rPr>
        <w:t xml:space="preserve">. </w:t>
      </w:r>
      <w:r w:rsidR="00E625E2">
        <w:rPr>
          <w:rFonts w:ascii="Arial" w:hAnsi="Arial" w:cs="Arial"/>
          <w:sz w:val="24"/>
        </w:rPr>
        <w:t>b</w:t>
      </w:r>
      <w:r w:rsidR="003E580D">
        <w:rPr>
          <w:rFonts w:ascii="Arial" w:hAnsi="Arial" w:cs="Arial"/>
          <w:sz w:val="24"/>
        </w:rPr>
        <w:t>is 1</w:t>
      </w:r>
      <w:r w:rsidR="00E625E2">
        <w:rPr>
          <w:rFonts w:ascii="Arial" w:hAnsi="Arial" w:cs="Arial"/>
          <w:sz w:val="24"/>
        </w:rPr>
        <w:t>7</w:t>
      </w:r>
      <w:r w:rsidR="003E580D">
        <w:rPr>
          <w:rFonts w:ascii="Arial" w:hAnsi="Arial" w:cs="Arial"/>
          <w:sz w:val="24"/>
        </w:rPr>
        <w:t>. Februar war der Ertrag aus beiden Quellen gering.</w:t>
      </w:r>
      <w:r w:rsidR="00C34195">
        <w:rPr>
          <w:rFonts w:ascii="Arial" w:hAnsi="Arial" w:cs="Arial"/>
          <w:sz w:val="24"/>
        </w:rPr>
        <w:t xml:space="preserve"> </w:t>
      </w:r>
    </w:p>
    <w:p w14:paraId="442328E9" w14:textId="2C8F012F" w:rsidR="009337E3" w:rsidRDefault="009337E3" w:rsidP="003E2329">
      <w:pPr>
        <w:rPr>
          <w:rFonts w:ascii="Arial" w:hAnsi="Arial" w:cs="Arial"/>
          <w:sz w:val="24"/>
        </w:rPr>
      </w:pPr>
      <w:r>
        <w:rPr>
          <w:rFonts w:ascii="Arial" w:hAnsi="Arial" w:cs="Arial"/>
          <w:sz w:val="24"/>
        </w:rPr>
        <w:t xml:space="preserve">Über den ganzen </w:t>
      </w:r>
      <w:r w:rsidR="003E580D">
        <w:rPr>
          <w:rFonts w:ascii="Arial" w:hAnsi="Arial" w:cs="Arial"/>
          <w:sz w:val="24"/>
        </w:rPr>
        <w:t>Winter</w:t>
      </w:r>
      <w:r>
        <w:rPr>
          <w:rFonts w:ascii="Arial" w:hAnsi="Arial" w:cs="Arial"/>
          <w:sz w:val="24"/>
        </w:rPr>
        <w:t xml:space="preserve"> gesehen</w:t>
      </w:r>
      <w:r w:rsidR="000A5D8C">
        <w:rPr>
          <w:rFonts w:ascii="Arial" w:hAnsi="Arial" w:cs="Arial"/>
          <w:sz w:val="24"/>
        </w:rPr>
        <w:t>,</w:t>
      </w:r>
      <w:r>
        <w:rPr>
          <w:rFonts w:ascii="Arial" w:hAnsi="Arial" w:cs="Arial"/>
          <w:sz w:val="24"/>
        </w:rPr>
        <w:t xml:space="preserve"> </w:t>
      </w:r>
      <w:r w:rsidR="000A5D8C">
        <w:rPr>
          <w:rFonts w:ascii="Arial" w:hAnsi="Arial" w:cs="Arial"/>
          <w:sz w:val="24"/>
        </w:rPr>
        <w:t xml:space="preserve">lag der Ertrag bei der </w:t>
      </w:r>
      <w:r>
        <w:rPr>
          <w:rFonts w:ascii="Arial" w:hAnsi="Arial" w:cs="Arial"/>
          <w:sz w:val="24"/>
        </w:rPr>
        <w:t xml:space="preserve">Windkraft mit </w:t>
      </w:r>
      <w:r w:rsidR="003E580D">
        <w:rPr>
          <w:rFonts w:ascii="Arial" w:hAnsi="Arial" w:cs="Arial"/>
          <w:sz w:val="24"/>
        </w:rPr>
        <w:t>87,2</w:t>
      </w:r>
      <w:r w:rsidR="0004316C">
        <w:rPr>
          <w:rFonts w:ascii="Arial" w:hAnsi="Arial" w:cs="Arial"/>
          <w:sz w:val="24"/>
        </w:rPr>
        <w:t xml:space="preserve"> % </w:t>
      </w:r>
      <w:r w:rsidR="003E580D">
        <w:rPr>
          <w:rFonts w:ascii="Arial" w:hAnsi="Arial" w:cs="Arial"/>
          <w:sz w:val="24"/>
        </w:rPr>
        <w:t>unter</w:t>
      </w:r>
      <w:r w:rsidR="000A5D8C">
        <w:rPr>
          <w:rFonts w:ascii="Arial" w:hAnsi="Arial" w:cs="Arial"/>
          <w:sz w:val="24"/>
        </w:rPr>
        <w:t xml:space="preserve"> dem Mittel der Jahre von 2010 bis 2019.</w:t>
      </w:r>
      <w:r w:rsidR="003E580D">
        <w:rPr>
          <w:rFonts w:ascii="Arial" w:hAnsi="Arial" w:cs="Arial"/>
          <w:sz w:val="24"/>
        </w:rPr>
        <w:t xml:space="preserve"> Dies war </w:t>
      </w:r>
      <w:r w:rsidR="000E5319">
        <w:rPr>
          <w:rFonts w:ascii="Arial" w:hAnsi="Arial" w:cs="Arial"/>
          <w:sz w:val="24"/>
        </w:rPr>
        <w:t xml:space="preserve">das Ergebnis des </w:t>
      </w:r>
      <w:r w:rsidR="003E580D">
        <w:rPr>
          <w:rFonts w:ascii="Arial" w:hAnsi="Arial" w:cs="Arial"/>
          <w:sz w:val="24"/>
        </w:rPr>
        <w:t>dominierenden Hochdruckeinfluss</w:t>
      </w:r>
      <w:r w:rsidR="000E5319">
        <w:rPr>
          <w:rFonts w:ascii="Arial" w:hAnsi="Arial" w:cs="Arial"/>
          <w:sz w:val="24"/>
        </w:rPr>
        <w:t>es</w:t>
      </w:r>
      <w:r w:rsidR="003E580D">
        <w:rPr>
          <w:rFonts w:ascii="Arial" w:hAnsi="Arial" w:cs="Arial"/>
          <w:sz w:val="24"/>
        </w:rPr>
        <w:t xml:space="preserve"> mit wenig Wind.</w:t>
      </w:r>
      <w:r w:rsidR="000A5D8C">
        <w:rPr>
          <w:rFonts w:ascii="Arial" w:hAnsi="Arial" w:cs="Arial"/>
          <w:sz w:val="24"/>
        </w:rPr>
        <w:t xml:space="preserve"> Der Ertrag aus der </w:t>
      </w:r>
      <w:r w:rsidR="0004316C">
        <w:rPr>
          <w:rFonts w:ascii="Arial" w:hAnsi="Arial" w:cs="Arial"/>
          <w:sz w:val="24"/>
        </w:rPr>
        <w:t xml:space="preserve">Photovoltaik </w:t>
      </w:r>
      <w:r w:rsidR="000A5D8C">
        <w:rPr>
          <w:rFonts w:ascii="Arial" w:hAnsi="Arial" w:cs="Arial"/>
          <w:sz w:val="24"/>
        </w:rPr>
        <w:t xml:space="preserve">blieb </w:t>
      </w:r>
      <w:r w:rsidR="0004316C">
        <w:rPr>
          <w:rFonts w:ascii="Arial" w:hAnsi="Arial" w:cs="Arial"/>
          <w:sz w:val="24"/>
        </w:rPr>
        <w:t xml:space="preserve">mit </w:t>
      </w:r>
      <w:r w:rsidR="003E580D">
        <w:rPr>
          <w:rFonts w:ascii="Arial" w:hAnsi="Arial" w:cs="Arial"/>
          <w:sz w:val="24"/>
        </w:rPr>
        <w:t>90,9</w:t>
      </w:r>
      <w:r w:rsidR="0004316C">
        <w:rPr>
          <w:rFonts w:ascii="Arial" w:hAnsi="Arial" w:cs="Arial"/>
          <w:sz w:val="24"/>
        </w:rPr>
        <w:t> %</w:t>
      </w:r>
      <w:r>
        <w:rPr>
          <w:rFonts w:ascii="Arial" w:hAnsi="Arial" w:cs="Arial"/>
          <w:sz w:val="24"/>
        </w:rPr>
        <w:t xml:space="preserve"> </w:t>
      </w:r>
      <w:r w:rsidR="003E580D">
        <w:rPr>
          <w:rFonts w:ascii="Arial" w:hAnsi="Arial" w:cs="Arial"/>
          <w:sz w:val="24"/>
        </w:rPr>
        <w:t>nur wenig</w:t>
      </w:r>
      <w:r w:rsidR="000A5D8C">
        <w:rPr>
          <w:rFonts w:ascii="Arial" w:hAnsi="Arial" w:cs="Arial"/>
          <w:sz w:val="24"/>
        </w:rPr>
        <w:t xml:space="preserve"> </w:t>
      </w:r>
      <w:r>
        <w:rPr>
          <w:rFonts w:ascii="Arial" w:hAnsi="Arial" w:cs="Arial"/>
          <w:sz w:val="24"/>
        </w:rPr>
        <w:t>unterhalb des Mittels der Jahre 2010 bis 2019</w:t>
      </w:r>
      <w:r w:rsidR="0004316C">
        <w:rPr>
          <w:rFonts w:ascii="Arial" w:hAnsi="Arial" w:cs="Arial"/>
          <w:sz w:val="24"/>
        </w:rPr>
        <w:t>.</w:t>
      </w:r>
    </w:p>
    <w:p w14:paraId="4B2A55BA" w14:textId="77777777" w:rsidR="00840DCC" w:rsidRDefault="00840DCC" w:rsidP="003E2329">
      <w:pPr>
        <w:rPr>
          <w:rFonts w:ascii="Arial" w:hAnsi="Arial" w:cs="Arial"/>
          <w:sz w:val="24"/>
        </w:rPr>
      </w:pPr>
    </w:p>
    <w:p w14:paraId="5E87CF20" w14:textId="7BCE5D36" w:rsidR="007D587C" w:rsidRDefault="004E06B2" w:rsidP="003E2329">
      <w:pPr>
        <w:rPr>
          <w:rFonts w:ascii="Arial" w:hAnsi="Arial" w:cs="Arial"/>
          <w:sz w:val="24"/>
        </w:rPr>
      </w:pPr>
      <w:r>
        <w:rPr>
          <w:noProof/>
          <w:lang w:eastAsia="de-DE"/>
        </w:rPr>
        <w:drawing>
          <wp:inline distT="0" distB="0" distL="0" distR="0" wp14:anchorId="36DAE52B" wp14:editId="74989B52">
            <wp:extent cx="5760720" cy="3590925"/>
            <wp:effectExtent l="0" t="0" r="11430" b="9525"/>
            <wp:docPr id="1" name="Diagramm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314BAC" w14:textId="1AD724FA" w:rsidR="00E53188" w:rsidRDefault="004E06B2" w:rsidP="003E2329">
      <w:pPr>
        <w:rPr>
          <w:rFonts w:ascii="Arial" w:hAnsi="Arial" w:cs="Arial"/>
          <w:sz w:val="24"/>
        </w:rPr>
      </w:pPr>
      <w:r>
        <w:rPr>
          <w:noProof/>
          <w:lang w:eastAsia="de-DE"/>
        </w:rPr>
        <w:drawing>
          <wp:inline distT="0" distB="0" distL="0" distR="0" wp14:anchorId="4AB24DCE" wp14:editId="76235C00">
            <wp:extent cx="5760720" cy="3914775"/>
            <wp:effectExtent l="0" t="0" r="11430" b="9525"/>
            <wp:docPr id="3" name="Diagramm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79DCA4" w14:textId="59DE95EC" w:rsidR="007D587C" w:rsidRDefault="00840DCC" w:rsidP="007D587C">
      <w:pPr>
        <w:rPr>
          <w:rFonts w:ascii="Arial" w:hAnsi="Arial" w:cs="Arial"/>
          <w:sz w:val="24"/>
        </w:rPr>
      </w:pPr>
      <w:r>
        <w:rPr>
          <w:rFonts w:ascii="Arial" w:hAnsi="Arial" w:cs="Arial"/>
          <w:sz w:val="24"/>
        </w:rPr>
        <w:t>Abbildungen</w:t>
      </w:r>
      <w:r w:rsidR="007D587C">
        <w:rPr>
          <w:rFonts w:ascii="Arial" w:hAnsi="Arial" w:cs="Arial"/>
          <w:sz w:val="24"/>
        </w:rPr>
        <w:t xml:space="preserve">: </w:t>
      </w:r>
      <w:r w:rsidR="00840FD7">
        <w:rPr>
          <w:rFonts w:ascii="Arial" w:hAnsi="Arial" w:cs="Arial"/>
          <w:sz w:val="24"/>
        </w:rPr>
        <w:t>Ertrag</w:t>
      </w:r>
      <w:r w:rsidR="007D587C">
        <w:rPr>
          <w:rFonts w:ascii="Arial" w:hAnsi="Arial" w:cs="Arial"/>
          <w:sz w:val="24"/>
        </w:rPr>
        <w:t xml:space="preserve"> der Erneuerbaren Energien von Wind und Sonne im </w:t>
      </w:r>
      <w:r w:rsidR="00664AA9">
        <w:rPr>
          <w:rFonts w:ascii="Arial" w:hAnsi="Arial" w:cs="Arial"/>
          <w:sz w:val="24"/>
        </w:rPr>
        <w:t>Herbst</w:t>
      </w:r>
      <w:r w:rsidR="007D587C">
        <w:rPr>
          <w:rFonts w:ascii="Arial" w:hAnsi="Arial" w:cs="Arial"/>
          <w:sz w:val="24"/>
        </w:rPr>
        <w:t xml:space="preserve"> in Prozent zum langjährigen Mittel von 2010 bis 2019.</w:t>
      </w:r>
    </w:p>
    <w:p w14:paraId="1DAC2D7D" w14:textId="6EB8986A" w:rsidR="000D4962" w:rsidRDefault="000D4962" w:rsidP="007D587C">
      <w:pPr>
        <w:rPr>
          <w:rFonts w:ascii="Arial" w:hAnsi="Arial" w:cs="Arial"/>
          <w:sz w:val="24"/>
        </w:rPr>
      </w:pPr>
    </w:p>
    <w:p w14:paraId="37D85D81" w14:textId="187D36D5" w:rsidR="000F70C1" w:rsidRPr="00F022D8" w:rsidRDefault="00037372" w:rsidP="003E2329">
      <w:pPr>
        <w:rPr>
          <w:rFonts w:ascii="Arial" w:hAnsi="Arial" w:cs="Arial"/>
          <w:sz w:val="24"/>
        </w:rPr>
      </w:pPr>
      <w:r>
        <w:rPr>
          <w:rFonts w:ascii="Arial" w:hAnsi="Arial" w:cs="Arial"/>
          <w:b/>
          <w:noProof/>
          <w:sz w:val="24"/>
          <w:szCs w:val="24"/>
          <w:lang w:eastAsia="de-DE"/>
        </w:rPr>
        <w:pict w14:anchorId="4A81E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53.75pt">
            <v:imagedata r:id="rId9" o:title="FB_IMG_1741880388789"/>
          </v:shape>
        </w:pict>
      </w:r>
    </w:p>
    <w:p w14:paraId="5DFDEF46" w14:textId="322EA8E5" w:rsidR="008266EF" w:rsidRPr="00F022D8" w:rsidRDefault="008266EF" w:rsidP="003E2329">
      <w:pPr>
        <w:rPr>
          <w:rFonts w:ascii="Arial" w:hAnsi="Arial" w:cs="Arial"/>
          <w:sz w:val="24"/>
        </w:rPr>
      </w:pPr>
      <w:r w:rsidRPr="00F022D8">
        <w:rPr>
          <w:rFonts w:ascii="Arial" w:hAnsi="Arial" w:cs="Arial"/>
          <w:sz w:val="24"/>
        </w:rPr>
        <w:t>Abbildung:</w:t>
      </w:r>
      <w:r w:rsidR="009F3262" w:rsidRPr="00F022D8">
        <w:rPr>
          <w:rFonts w:ascii="Arial" w:hAnsi="Arial" w:cs="Arial"/>
          <w:sz w:val="24"/>
        </w:rPr>
        <w:t xml:space="preserve"> </w:t>
      </w:r>
      <w:r w:rsidR="00BC3391">
        <w:rPr>
          <w:rFonts w:ascii="Arial" w:hAnsi="Arial" w:cs="Arial"/>
          <w:sz w:val="24"/>
        </w:rPr>
        <w:t>Wanderweg im verschneiten Wald</w:t>
      </w:r>
      <w:r w:rsidR="0068492D">
        <w:rPr>
          <w:rFonts w:ascii="Arial" w:hAnsi="Arial" w:cs="Arial"/>
          <w:sz w:val="24"/>
        </w:rPr>
        <w:t xml:space="preserve">. </w:t>
      </w:r>
      <w:r w:rsidRPr="00F022D8">
        <w:rPr>
          <w:rFonts w:ascii="Arial" w:hAnsi="Arial" w:cs="Arial"/>
          <w:sz w:val="24"/>
        </w:rPr>
        <w:t xml:space="preserve">Bild </w:t>
      </w:r>
      <w:r w:rsidR="00CA6F93" w:rsidRPr="00F022D8">
        <w:rPr>
          <w:rFonts w:ascii="Arial" w:hAnsi="Arial" w:cs="Arial"/>
          <w:sz w:val="24"/>
        </w:rPr>
        <w:t xml:space="preserve">Dr. </w:t>
      </w:r>
      <w:r w:rsidRPr="00F022D8">
        <w:rPr>
          <w:rFonts w:ascii="Arial" w:hAnsi="Arial" w:cs="Arial"/>
          <w:sz w:val="24"/>
        </w:rPr>
        <w:t>Christoph Geißler, LAU</w:t>
      </w:r>
    </w:p>
    <w:sectPr w:rsidR="008266EF" w:rsidRPr="00F022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63C0D" w16cex:dateUtc="2025-03-20T06:02:00Z"/>
  <w16cex:commentExtensible w16cex:durableId="2B863DE9" w16cex:dateUtc="2025-03-20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89AFB" w16cid:durableId="2B863C0D"/>
  <w16cid:commentId w16cid:paraId="243E80A0" w16cid:durableId="2B863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9C315" w14:textId="77777777" w:rsidR="00521589" w:rsidRDefault="00521589" w:rsidP="007D587C">
      <w:pPr>
        <w:spacing w:after="0" w:line="240" w:lineRule="auto"/>
      </w:pPr>
      <w:r>
        <w:separator/>
      </w:r>
    </w:p>
  </w:endnote>
  <w:endnote w:type="continuationSeparator" w:id="0">
    <w:p w14:paraId="0E4CC850" w14:textId="77777777" w:rsidR="00521589" w:rsidRDefault="00521589" w:rsidP="007D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26B16" w14:textId="77777777" w:rsidR="00521589" w:rsidRDefault="00521589" w:rsidP="007D587C">
      <w:pPr>
        <w:spacing w:after="0" w:line="240" w:lineRule="auto"/>
      </w:pPr>
      <w:r>
        <w:separator/>
      </w:r>
    </w:p>
  </w:footnote>
  <w:footnote w:type="continuationSeparator" w:id="0">
    <w:p w14:paraId="0D07C22F" w14:textId="77777777" w:rsidR="00521589" w:rsidRDefault="00521589" w:rsidP="007D5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C6"/>
    <w:rsid w:val="00000659"/>
    <w:rsid w:val="00011FBF"/>
    <w:rsid w:val="00013E09"/>
    <w:rsid w:val="00021823"/>
    <w:rsid w:val="000248D4"/>
    <w:rsid w:val="00025379"/>
    <w:rsid w:val="00025EA8"/>
    <w:rsid w:val="00037372"/>
    <w:rsid w:val="000417F9"/>
    <w:rsid w:val="0004316C"/>
    <w:rsid w:val="00054866"/>
    <w:rsid w:val="000559F4"/>
    <w:rsid w:val="0006309C"/>
    <w:rsid w:val="000653E1"/>
    <w:rsid w:val="00071846"/>
    <w:rsid w:val="00093C36"/>
    <w:rsid w:val="000970AA"/>
    <w:rsid w:val="000A109C"/>
    <w:rsid w:val="000A1171"/>
    <w:rsid w:val="000A1DAE"/>
    <w:rsid w:val="000A5D8C"/>
    <w:rsid w:val="000B02C1"/>
    <w:rsid w:val="000C387F"/>
    <w:rsid w:val="000C622E"/>
    <w:rsid w:val="000D4962"/>
    <w:rsid w:val="000D7156"/>
    <w:rsid w:val="000E49CA"/>
    <w:rsid w:val="000E5319"/>
    <w:rsid w:val="000E6C39"/>
    <w:rsid w:val="000F21CD"/>
    <w:rsid w:val="000F70C1"/>
    <w:rsid w:val="000F73B7"/>
    <w:rsid w:val="000F7491"/>
    <w:rsid w:val="0010356A"/>
    <w:rsid w:val="00103D5E"/>
    <w:rsid w:val="00107280"/>
    <w:rsid w:val="001141BC"/>
    <w:rsid w:val="00117DE2"/>
    <w:rsid w:val="00126D0B"/>
    <w:rsid w:val="001339AB"/>
    <w:rsid w:val="00140650"/>
    <w:rsid w:val="00144B9F"/>
    <w:rsid w:val="001635DB"/>
    <w:rsid w:val="00166A05"/>
    <w:rsid w:val="0017127A"/>
    <w:rsid w:val="00173972"/>
    <w:rsid w:val="00174875"/>
    <w:rsid w:val="001777BF"/>
    <w:rsid w:val="00191F2D"/>
    <w:rsid w:val="001B32AC"/>
    <w:rsid w:val="001B6A75"/>
    <w:rsid w:val="001C2143"/>
    <w:rsid w:val="001C4D2D"/>
    <w:rsid w:val="001D25C6"/>
    <w:rsid w:val="0020109C"/>
    <w:rsid w:val="00202D05"/>
    <w:rsid w:val="00212749"/>
    <w:rsid w:val="0022115B"/>
    <w:rsid w:val="002242F3"/>
    <w:rsid w:val="0022625F"/>
    <w:rsid w:val="0022712F"/>
    <w:rsid w:val="00227988"/>
    <w:rsid w:val="0023778E"/>
    <w:rsid w:val="00250B48"/>
    <w:rsid w:val="002533C7"/>
    <w:rsid w:val="00257CA3"/>
    <w:rsid w:val="00262122"/>
    <w:rsid w:val="002633B2"/>
    <w:rsid w:val="00274215"/>
    <w:rsid w:val="002819E3"/>
    <w:rsid w:val="00283041"/>
    <w:rsid w:val="002B616E"/>
    <w:rsid w:val="002C46F1"/>
    <w:rsid w:val="002C50D6"/>
    <w:rsid w:val="002E193A"/>
    <w:rsid w:val="002E3171"/>
    <w:rsid w:val="002E6E0F"/>
    <w:rsid w:val="00306652"/>
    <w:rsid w:val="00315ED9"/>
    <w:rsid w:val="0031786E"/>
    <w:rsid w:val="003224B0"/>
    <w:rsid w:val="0032731B"/>
    <w:rsid w:val="00334E2A"/>
    <w:rsid w:val="0034613A"/>
    <w:rsid w:val="00351FA2"/>
    <w:rsid w:val="00370845"/>
    <w:rsid w:val="00371A93"/>
    <w:rsid w:val="0038000B"/>
    <w:rsid w:val="00383851"/>
    <w:rsid w:val="003A166B"/>
    <w:rsid w:val="003A64B7"/>
    <w:rsid w:val="003A7DAE"/>
    <w:rsid w:val="003B275B"/>
    <w:rsid w:val="003C3546"/>
    <w:rsid w:val="003D0A1D"/>
    <w:rsid w:val="003D2FFC"/>
    <w:rsid w:val="003D5038"/>
    <w:rsid w:val="003E2329"/>
    <w:rsid w:val="003E2691"/>
    <w:rsid w:val="003E580D"/>
    <w:rsid w:val="003F1D75"/>
    <w:rsid w:val="00402C0D"/>
    <w:rsid w:val="00403CF2"/>
    <w:rsid w:val="0040421C"/>
    <w:rsid w:val="004100C3"/>
    <w:rsid w:val="00437BAA"/>
    <w:rsid w:val="00440C63"/>
    <w:rsid w:val="00445E1C"/>
    <w:rsid w:val="0044745D"/>
    <w:rsid w:val="00462255"/>
    <w:rsid w:val="00467741"/>
    <w:rsid w:val="00467CA6"/>
    <w:rsid w:val="00483436"/>
    <w:rsid w:val="004A32DA"/>
    <w:rsid w:val="004B140B"/>
    <w:rsid w:val="004B23C8"/>
    <w:rsid w:val="004C1EB3"/>
    <w:rsid w:val="004D348A"/>
    <w:rsid w:val="004D4123"/>
    <w:rsid w:val="004D5492"/>
    <w:rsid w:val="004D739F"/>
    <w:rsid w:val="004E06B2"/>
    <w:rsid w:val="004E1F11"/>
    <w:rsid w:val="004E3198"/>
    <w:rsid w:val="004E3827"/>
    <w:rsid w:val="004E3961"/>
    <w:rsid w:val="004E565B"/>
    <w:rsid w:val="004F1E08"/>
    <w:rsid w:val="004F3A76"/>
    <w:rsid w:val="005012C4"/>
    <w:rsid w:val="00514116"/>
    <w:rsid w:val="00521589"/>
    <w:rsid w:val="005360F8"/>
    <w:rsid w:val="0056300C"/>
    <w:rsid w:val="005727EE"/>
    <w:rsid w:val="00573385"/>
    <w:rsid w:val="00574B50"/>
    <w:rsid w:val="00582129"/>
    <w:rsid w:val="005870D0"/>
    <w:rsid w:val="00597682"/>
    <w:rsid w:val="005C07DF"/>
    <w:rsid w:val="005C16A9"/>
    <w:rsid w:val="005C376D"/>
    <w:rsid w:val="005C3B21"/>
    <w:rsid w:val="005C783C"/>
    <w:rsid w:val="005D0C20"/>
    <w:rsid w:val="005D4556"/>
    <w:rsid w:val="005D6190"/>
    <w:rsid w:val="005D6DA8"/>
    <w:rsid w:val="005E10F0"/>
    <w:rsid w:val="005E362F"/>
    <w:rsid w:val="0060071D"/>
    <w:rsid w:val="00606AF5"/>
    <w:rsid w:val="00616A17"/>
    <w:rsid w:val="00634507"/>
    <w:rsid w:val="0063587B"/>
    <w:rsid w:val="006508CB"/>
    <w:rsid w:val="00650D59"/>
    <w:rsid w:val="00651C71"/>
    <w:rsid w:val="00653854"/>
    <w:rsid w:val="0065556E"/>
    <w:rsid w:val="00664AA9"/>
    <w:rsid w:val="0068492D"/>
    <w:rsid w:val="0068634B"/>
    <w:rsid w:val="0069365A"/>
    <w:rsid w:val="00694559"/>
    <w:rsid w:val="00696A48"/>
    <w:rsid w:val="006A1042"/>
    <w:rsid w:val="006A20FB"/>
    <w:rsid w:val="006B5C35"/>
    <w:rsid w:val="006C3A6F"/>
    <w:rsid w:val="006D09DC"/>
    <w:rsid w:val="006D27FF"/>
    <w:rsid w:val="007068BC"/>
    <w:rsid w:val="0071183C"/>
    <w:rsid w:val="00713B67"/>
    <w:rsid w:val="00717E0B"/>
    <w:rsid w:val="00722743"/>
    <w:rsid w:val="007237D0"/>
    <w:rsid w:val="00727DAC"/>
    <w:rsid w:val="0073120E"/>
    <w:rsid w:val="00732AE2"/>
    <w:rsid w:val="00733582"/>
    <w:rsid w:val="007428AC"/>
    <w:rsid w:val="00762DC4"/>
    <w:rsid w:val="007724A1"/>
    <w:rsid w:val="007814C6"/>
    <w:rsid w:val="00794006"/>
    <w:rsid w:val="007C2D02"/>
    <w:rsid w:val="007D587C"/>
    <w:rsid w:val="007D6D81"/>
    <w:rsid w:val="007D7F3C"/>
    <w:rsid w:val="007F2857"/>
    <w:rsid w:val="007F4794"/>
    <w:rsid w:val="00806873"/>
    <w:rsid w:val="00807CFA"/>
    <w:rsid w:val="0081045C"/>
    <w:rsid w:val="00817174"/>
    <w:rsid w:val="008266EF"/>
    <w:rsid w:val="00827095"/>
    <w:rsid w:val="0082772D"/>
    <w:rsid w:val="00835B3C"/>
    <w:rsid w:val="00837480"/>
    <w:rsid w:val="00840DCC"/>
    <w:rsid w:val="00840FD7"/>
    <w:rsid w:val="00841C48"/>
    <w:rsid w:val="00850311"/>
    <w:rsid w:val="00852800"/>
    <w:rsid w:val="008707E9"/>
    <w:rsid w:val="00872B63"/>
    <w:rsid w:val="008732CA"/>
    <w:rsid w:val="008956E1"/>
    <w:rsid w:val="0089772F"/>
    <w:rsid w:val="00897E05"/>
    <w:rsid w:val="008C0DDD"/>
    <w:rsid w:val="0090439B"/>
    <w:rsid w:val="00927BBB"/>
    <w:rsid w:val="009302D0"/>
    <w:rsid w:val="009316AC"/>
    <w:rsid w:val="009337E3"/>
    <w:rsid w:val="00934376"/>
    <w:rsid w:val="00944C40"/>
    <w:rsid w:val="009550F0"/>
    <w:rsid w:val="00957F00"/>
    <w:rsid w:val="0096201C"/>
    <w:rsid w:val="009704DA"/>
    <w:rsid w:val="00973260"/>
    <w:rsid w:val="0098092D"/>
    <w:rsid w:val="00983523"/>
    <w:rsid w:val="00990276"/>
    <w:rsid w:val="00990F13"/>
    <w:rsid w:val="009A7AF2"/>
    <w:rsid w:val="009B0771"/>
    <w:rsid w:val="009C2E65"/>
    <w:rsid w:val="009C37E8"/>
    <w:rsid w:val="009C6007"/>
    <w:rsid w:val="009C604B"/>
    <w:rsid w:val="009E43D3"/>
    <w:rsid w:val="009F18A1"/>
    <w:rsid w:val="009F325C"/>
    <w:rsid w:val="009F3262"/>
    <w:rsid w:val="009F35F9"/>
    <w:rsid w:val="00A00B9F"/>
    <w:rsid w:val="00A06C1B"/>
    <w:rsid w:val="00A10830"/>
    <w:rsid w:val="00A12AB0"/>
    <w:rsid w:val="00A14165"/>
    <w:rsid w:val="00A339D4"/>
    <w:rsid w:val="00A47720"/>
    <w:rsid w:val="00A54B74"/>
    <w:rsid w:val="00A60955"/>
    <w:rsid w:val="00A62068"/>
    <w:rsid w:val="00A70199"/>
    <w:rsid w:val="00A723BD"/>
    <w:rsid w:val="00A7420F"/>
    <w:rsid w:val="00A75364"/>
    <w:rsid w:val="00A80788"/>
    <w:rsid w:val="00A922C6"/>
    <w:rsid w:val="00A93D8C"/>
    <w:rsid w:val="00A95A03"/>
    <w:rsid w:val="00AA10A5"/>
    <w:rsid w:val="00AB27B9"/>
    <w:rsid w:val="00AB7CD4"/>
    <w:rsid w:val="00AC32D6"/>
    <w:rsid w:val="00AD536B"/>
    <w:rsid w:val="00AE2E2A"/>
    <w:rsid w:val="00AE4217"/>
    <w:rsid w:val="00AE65DC"/>
    <w:rsid w:val="00AF60D5"/>
    <w:rsid w:val="00B0426E"/>
    <w:rsid w:val="00B14E48"/>
    <w:rsid w:val="00B4763F"/>
    <w:rsid w:val="00B52F01"/>
    <w:rsid w:val="00B5587B"/>
    <w:rsid w:val="00B6263D"/>
    <w:rsid w:val="00B7146C"/>
    <w:rsid w:val="00B8017F"/>
    <w:rsid w:val="00B80489"/>
    <w:rsid w:val="00B80D53"/>
    <w:rsid w:val="00B8462F"/>
    <w:rsid w:val="00B849AB"/>
    <w:rsid w:val="00B87C9A"/>
    <w:rsid w:val="00B91CA5"/>
    <w:rsid w:val="00BA449D"/>
    <w:rsid w:val="00BC1F2B"/>
    <w:rsid w:val="00BC3391"/>
    <w:rsid w:val="00BD46ED"/>
    <w:rsid w:val="00BF1C6E"/>
    <w:rsid w:val="00C05F9C"/>
    <w:rsid w:val="00C136B1"/>
    <w:rsid w:val="00C1756F"/>
    <w:rsid w:val="00C27A11"/>
    <w:rsid w:val="00C34195"/>
    <w:rsid w:val="00C548AC"/>
    <w:rsid w:val="00C55366"/>
    <w:rsid w:val="00C866E6"/>
    <w:rsid w:val="00C905A1"/>
    <w:rsid w:val="00C91A6F"/>
    <w:rsid w:val="00C91F72"/>
    <w:rsid w:val="00C92D21"/>
    <w:rsid w:val="00C9408B"/>
    <w:rsid w:val="00CA0DA6"/>
    <w:rsid w:val="00CA419D"/>
    <w:rsid w:val="00CA501C"/>
    <w:rsid w:val="00CA6F93"/>
    <w:rsid w:val="00CC3912"/>
    <w:rsid w:val="00CD6A54"/>
    <w:rsid w:val="00CE0F1C"/>
    <w:rsid w:val="00CE153D"/>
    <w:rsid w:val="00CE68B0"/>
    <w:rsid w:val="00CF0557"/>
    <w:rsid w:val="00CF31B7"/>
    <w:rsid w:val="00D056A2"/>
    <w:rsid w:val="00D117C2"/>
    <w:rsid w:val="00D1761F"/>
    <w:rsid w:val="00D2767E"/>
    <w:rsid w:val="00D31C95"/>
    <w:rsid w:val="00D35B77"/>
    <w:rsid w:val="00D50476"/>
    <w:rsid w:val="00D52347"/>
    <w:rsid w:val="00D57340"/>
    <w:rsid w:val="00D72113"/>
    <w:rsid w:val="00DA5631"/>
    <w:rsid w:val="00DB27FE"/>
    <w:rsid w:val="00DD0D4A"/>
    <w:rsid w:val="00DE13C6"/>
    <w:rsid w:val="00DF79E0"/>
    <w:rsid w:val="00E04B27"/>
    <w:rsid w:val="00E07797"/>
    <w:rsid w:val="00E11367"/>
    <w:rsid w:val="00E11835"/>
    <w:rsid w:val="00E17416"/>
    <w:rsid w:val="00E21536"/>
    <w:rsid w:val="00E308DC"/>
    <w:rsid w:val="00E31B4E"/>
    <w:rsid w:val="00E36936"/>
    <w:rsid w:val="00E373E2"/>
    <w:rsid w:val="00E40B79"/>
    <w:rsid w:val="00E418DA"/>
    <w:rsid w:val="00E448F0"/>
    <w:rsid w:val="00E53188"/>
    <w:rsid w:val="00E53E74"/>
    <w:rsid w:val="00E551B5"/>
    <w:rsid w:val="00E579E5"/>
    <w:rsid w:val="00E616A0"/>
    <w:rsid w:val="00E625E2"/>
    <w:rsid w:val="00E63282"/>
    <w:rsid w:val="00E6555D"/>
    <w:rsid w:val="00E81DE4"/>
    <w:rsid w:val="00E8364C"/>
    <w:rsid w:val="00E9514A"/>
    <w:rsid w:val="00E96AE8"/>
    <w:rsid w:val="00EA1062"/>
    <w:rsid w:val="00EB18C0"/>
    <w:rsid w:val="00EC24E9"/>
    <w:rsid w:val="00EC4845"/>
    <w:rsid w:val="00EF1D42"/>
    <w:rsid w:val="00F02270"/>
    <w:rsid w:val="00F022D8"/>
    <w:rsid w:val="00F0457B"/>
    <w:rsid w:val="00F07255"/>
    <w:rsid w:val="00F151F7"/>
    <w:rsid w:val="00F3732C"/>
    <w:rsid w:val="00F5415F"/>
    <w:rsid w:val="00F66152"/>
    <w:rsid w:val="00F7408B"/>
    <w:rsid w:val="00F812D6"/>
    <w:rsid w:val="00F85095"/>
    <w:rsid w:val="00F87D95"/>
    <w:rsid w:val="00F9363F"/>
    <w:rsid w:val="00FA6B54"/>
    <w:rsid w:val="00FB64F7"/>
    <w:rsid w:val="00FB6F2E"/>
    <w:rsid w:val="00FC5D8D"/>
    <w:rsid w:val="00FE2083"/>
    <w:rsid w:val="00FE7D99"/>
    <w:rsid w:val="00FF3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7EB83F"/>
  <w15:chartTrackingRefBased/>
  <w15:docId w15:val="{B8182E04-48A5-41A9-8493-FE213817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14C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000659"/>
    <w:pPr>
      <w:spacing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445E1C"/>
    <w:rPr>
      <w:sz w:val="16"/>
      <w:szCs w:val="16"/>
    </w:rPr>
  </w:style>
  <w:style w:type="paragraph" w:styleId="Kommentartext">
    <w:name w:val="annotation text"/>
    <w:basedOn w:val="Standard"/>
    <w:link w:val="KommentartextZchn"/>
    <w:uiPriority w:val="99"/>
    <w:unhideWhenUsed/>
    <w:rsid w:val="00445E1C"/>
    <w:pPr>
      <w:spacing w:line="240" w:lineRule="auto"/>
    </w:pPr>
    <w:rPr>
      <w:sz w:val="20"/>
      <w:szCs w:val="20"/>
    </w:rPr>
  </w:style>
  <w:style w:type="character" w:customStyle="1" w:styleId="KommentartextZchn">
    <w:name w:val="Kommentartext Zchn"/>
    <w:basedOn w:val="Absatz-Standardschriftart"/>
    <w:link w:val="Kommentartext"/>
    <w:uiPriority w:val="99"/>
    <w:rsid w:val="00445E1C"/>
    <w:rPr>
      <w:sz w:val="20"/>
      <w:szCs w:val="20"/>
    </w:rPr>
  </w:style>
  <w:style w:type="paragraph" w:styleId="Kommentarthema">
    <w:name w:val="annotation subject"/>
    <w:basedOn w:val="Kommentartext"/>
    <w:next w:val="Kommentartext"/>
    <w:link w:val="KommentarthemaZchn"/>
    <w:uiPriority w:val="99"/>
    <w:semiHidden/>
    <w:unhideWhenUsed/>
    <w:rsid w:val="00445E1C"/>
    <w:rPr>
      <w:b/>
      <w:bCs/>
    </w:rPr>
  </w:style>
  <w:style w:type="character" w:customStyle="1" w:styleId="KommentarthemaZchn">
    <w:name w:val="Kommentarthema Zchn"/>
    <w:basedOn w:val="KommentartextZchn"/>
    <w:link w:val="Kommentarthema"/>
    <w:uiPriority w:val="99"/>
    <w:semiHidden/>
    <w:rsid w:val="00445E1C"/>
    <w:rPr>
      <w:b/>
      <w:bCs/>
      <w:sz w:val="20"/>
      <w:szCs w:val="20"/>
    </w:rPr>
  </w:style>
  <w:style w:type="paragraph" w:styleId="Sprechblasentext">
    <w:name w:val="Balloon Text"/>
    <w:basedOn w:val="Standard"/>
    <w:link w:val="SprechblasentextZchn"/>
    <w:uiPriority w:val="99"/>
    <w:semiHidden/>
    <w:unhideWhenUsed/>
    <w:rsid w:val="00445E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E1C"/>
    <w:rPr>
      <w:rFonts w:ascii="Segoe UI" w:hAnsi="Segoe UI" w:cs="Segoe UI"/>
      <w:sz w:val="18"/>
      <w:szCs w:val="18"/>
    </w:rPr>
  </w:style>
  <w:style w:type="paragraph" w:styleId="berarbeitung">
    <w:name w:val="Revision"/>
    <w:hidden/>
    <w:uiPriority w:val="99"/>
    <w:semiHidden/>
    <w:rsid w:val="004F3A76"/>
    <w:pPr>
      <w:spacing w:after="0" w:line="240" w:lineRule="auto"/>
    </w:pPr>
  </w:style>
  <w:style w:type="table" w:styleId="Tabellenraster">
    <w:name w:val="Table Grid"/>
    <w:basedOn w:val="NormaleTabelle"/>
    <w:uiPriority w:val="39"/>
    <w:rsid w:val="00A7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rsid w:val="00025E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
    <w:name w:val="Grid Table 1 Light"/>
    <w:basedOn w:val="NormaleTabelle"/>
    <w:uiPriority w:val="46"/>
    <w:rsid w:val="00025E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Absatz-Standardschriftart"/>
    <w:uiPriority w:val="99"/>
    <w:semiHidden/>
    <w:unhideWhenUsed/>
    <w:rsid w:val="004E1F11"/>
    <w:rPr>
      <w:color w:val="0000FF"/>
      <w:u w:val="single"/>
    </w:rPr>
  </w:style>
  <w:style w:type="paragraph" w:styleId="Kopfzeile">
    <w:name w:val="header"/>
    <w:basedOn w:val="Standard"/>
    <w:link w:val="KopfzeileZchn"/>
    <w:uiPriority w:val="99"/>
    <w:unhideWhenUsed/>
    <w:rsid w:val="007D58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587C"/>
  </w:style>
  <w:style w:type="paragraph" w:styleId="Fuzeile">
    <w:name w:val="footer"/>
    <w:basedOn w:val="Standard"/>
    <w:link w:val="FuzeileZchn"/>
    <w:uiPriority w:val="99"/>
    <w:unhideWhenUsed/>
    <w:rsid w:val="007D58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hart" Target="charts/chart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Winter202425\erzeugung%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Winter202425\erzeugung%2020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de-DE"/>
              <a:t>Ertrag aus Windkraft im Vergleich zum Mittel 2010-2019</a:t>
            </a:r>
          </a:p>
        </c:rich>
      </c:tx>
      <c:layout/>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0"/>
          <c:order val="0"/>
          <c:tx>
            <c:strRef>
              <c:f>Winter!$C$2</c:f>
              <c:strCache>
                <c:ptCount val="1"/>
                <c:pt idx="0">
                  <c:v>Wind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Winter!$B$3:$B$94</c:f>
              <c:numCache>
                <c:formatCode>d\-mmm</c:formatCode>
                <c:ptCount val="92"/>
                <c:pt idx="0">
                  <c:v>45992</c:v>
                </c:pt>
                <c:pt idx="1">
                  <c:v>45993</c:v>
                </c:pt>
                <c:pt idx="2">
                  <c:v>45994</c:v>
                </c:pt>
                <c:pt idx="3">
                  <c:v>45995</c:v>
                </c:pt>
                <c:pt idx="4">
                  <c:v>45996</c:v>
                </c:pt>
                <c:pt idx="5">
                  <c:v>45997</c:v>
                </c:pt>
                <c:pt idx="6">
                  <c:v>45998</c:v>
                </c:pt>
                <c:pt idx="7">
                  <c:v>45999</c:v>
                </c:pt>
                <c:pt idx="8">
                  <c:v>46000</c:v>
                </c:pt>
                <c:pt idx="9">
                  <c:v>46001</c:v>
                </c:pt>
                <c:pt idx="10">
                  <c:v>46002</c:v>
                </c:pt>
                <c:pt idx="11">
                  <c:v>46003</c:v>
                </c:pt>
                <c:pt idx="12">
                  <c:v>46004</c:v>
                </c:pt>
                <c:pt idx="13">
                  <c:v>46005</c:v>
                </c:pt>
                <c:pt idx="14">
                  <c:v>46006</c:v>
                </c:pt>
                <c:pt idx="15">
                  <c:v>46007</c:v>
                </c:pt>
                <c:pt idx="16">
                  <c:v>46008</c:v>
                </c:pt>
                <c:pt idx="17">
                  <c:v>46009</c:v>
                </c:pt>
                <c:pt idx="18">
                  <c:v>46010</c:v>
                </c:pt>
                <c:pt idx="19">
                  <c:v>46011</c:v>
                </c:pt>
                <c:pt idx="20">
                  <c:v>46012</c:v>
                </c:pt>
                <c:pt idx="21">
                  <c:v>46013</c:v>
                </c:pt>
                <c:pt idx="22">
                  <c:v>46014</c:v>
                </c:pt>
                <c:pt idx="23">
                  <c:v>46015</c:v>
                </c:pt>
                <c:pt idx="24">
                  <c:v>46016</c:v>
                </c:pt>
                <c:pt idx="25">
                  <c:v>46017</c:v>
                </c:pt>
                <c:pt idx="26">
                  <c:v>46018</c:v>
                </c:pt>
                <c:pt idx="27">
                  <c:v>46019</c:v>
                </c:pt>
                <c:pt idx="28">
                  <c:v>46020</c:v>
                </c:pt>
                <c:pt idx="29">
                  <c:v>46021</c:v>
                </c:pt>
                <c:pt idx="30">
                  <c:v>46022</c:v>
                </c:pt>
                <c:pt idx="31">
                  <c:v>46023</c:v>
                </c:pt>
                <c:pt idx="32">
                  <c:v>46024</c:v>
                </c:pt>
                <c:pt idx="33">
                  <c:v>46025</c:v>
                </c:pt>
                <c:pt idx="34">
                  <c:v>46026</c:v>
                </c:pt>
                <c:pt idx="35">
                  <c:v>46027</c:v>
                </c:pt>
                <c:pt idx="36">
                  <c:v>46028</c:v>
                </c:pt>
                <c:pt idx="37">
                  <c:v>46029</c:v>
                </c:pt>
                <c:pt idx="38">
                  <c:v>46030</c:v>
                </c:pt>
                <c:pt idx="39">
                  <c:v>46031</c:v>
                </c:pt>
                <c:pt idx="40">
                  <c:v>46032</c:v>
                </c:pt>
                <c:pt idx="41">
                  <c:v>46033</c:v>
                </c:pt>
                <c:pt idx="42">
                  <c:v>46034</c:v>
                </c:pt>
                <c:pt idx="43">
                  <c:v>46035</c:v>
                </c:pt>
                <c:pt idx="44">
                  <c:v>46036</c:v>
                </c:pt>
                <c:pt idx="45">
                  <c:v>46037</c:v>
                </c:pt>
                <c:pt idx="46">
                  <c:v>46038</c:v>
                </c:pt>
                <c:pt idx="47">
                  <c:v>46039</c:v>
                </c:pt>
                <c:pt idx="48">
                  <c:v>46040</c:v>
                </c:pt>
                <c:pt idx="49">
                  <c:v>46041</c:v>
                </c:pt>
                <c:pt idx="50">
                  <c:v>46042</c:v>
                </c:pt>
                <c:pt idx="51">
                  <c:v>46043</c:v>
                </c:pt>
                <c:pt idx="52">
                  <c:v>46044</c:v>
                </c:pt>
                <c:pt idx="53">
                  <c:v>46045</c:v>
                </c:pt>
                <c:pt idx="54">
                  <c:v>46046</c:v>
                </c:pt>
                <c:pt idx="55">
                  <c:v>46047</c:v>
                </c:pt>
                <c:pt idx="56">
                  <c:v>46048</c:v>
                </c:pt>
                <c:pt idx="57">
                  <c:v>46049</c:v>
                </c:pt>
                <c:pt idx="58">
                  <c:v>46050</c:v>
                </c:pt>
                <c:pt idx="59">
                  <c:v>46051</c:v>
                </c:pt>
                <c:pt idx="60">
                  <c:v>46052</c:v>
                </c:pt>
                <c:pt idx="61">
                  <c:v>46053</c:v>
                </c:pt>
                <c:pt idx="62">
                  <c:v>46054</c:v>
                </c:pt>
                <c:pt idx="63">
                  <c:v>46055</c:v>
                </c:pt>
                <c:pt idx="64">
                  <c:v>46056</c:v>
                </c:pt>
                <c:pt idx="65">
                  <c:v>46057</c:v>
                </c:pt>
                <c:pt idx="66">
                  <c:v>46058</c:v>
                </c:pt>
                <c:pt idx="67">
                  <c:v>46059</c:v>
                </c:pt>
                <c:pt idx="68">
                  <c:v>46060</c:v>
                </c:pt>
                <c:pt idx="69">
                  <c:v>46061</c:v>
                </c:pt>
                <c:pt idx="70">
                  <c:v>46062</c:v>
                </c:pt>
                <c:pt idx="71">
                  <c:v>46063</c:v>
                </c:pt>
                <c:pt idx="72">
                  <c:v>46064</c:v>
                </c:pt>
                <c:pt idx="73">
                  <c:v>46065</c:v>
                </c:pt>
                <c:pt idx="74">
                  <c:v>46066</c:v>
                </c:pt>
                <c:pt idx="75">
                  <c:v>46067</c:v>
                </c:pt>
                <c:pt idx="76">
                  <c:v>46068</c:v>
                </c:pt>
                <c:pt idx="77">
                  <c:v>46069</c:v>
                </c:pt>
                <c:pt idx="78">
                  <c:v>46070</c:v>
                </c:pt>
                <c:pt idx="79">
                  <c:v>46071</c:v>
                </c:pt>
                <c:pt idx="80">
                  <c:v>46072</c:v>
                </c:pt>
                <c:pt idx="81">
                  <c:v>46073</c:v>
                </c:pt>
                <c:pt idx="82">
                  <c:v>46074</c:v>
                </c:pt>
                <c:pt idx="83">
                  <c:v>46075</c:v>
                </c:pt>
                <c:pt idx="84">
                  <c:v>46076</c:v>
                </c:pt>
                <c:pt idx="85">
                  <c:v>46077</c:v>
                </c:pt>
                <c:pt idx="86">
                  <c:v>46078</c:v>
                </c:pt>
                <c:pt idx="87">
                  <c:v>46079</c:v>
                </c:pt>
                <c:pt idx="88">
                  <c:v>46080</c:v>
                </c:pt>
                <c:pt idx="89">
                  <c:v>46081</c:v>
                </c:pt>
              </c:numCache>
            </c:numRef>
          </c:cat>
          <c:val>
            <c:numRef>
              <c:f>Winter!$E$3:$E$94</c:f>
              <c:numCache>
                <c:formatCode>General</c:formatCode>
                <c:ptCount val="92"/>
                <c:pt idx="0">
                  <c:v>54.747720062995754</c:v>
                </c:pt>
                <c:pt idx="1">
                  <c:v>113.58057372356699</c:v>
                </c:pt>
                <c:pt idx="2">
                  <c:v>76.368747679803974</c:v>
                </c:pt>
                <c:pt idx="3">
                  <c:v>27.156583100503472</c:v>
                </c:pt>
                <c:pt idx="4">
                  <c:v>67.730141223887415</c:v>
                </c:pt>
                <c:pt idx="5">
                  <c:v>80.829180683460081</c:v>
                </c:pt>
                <c:pt idx="6">
                  <c:v>70.111628122120592</c:v>
                </c:pt>
                <c:pt idx="7">
                  <c:v>33.045716870968803</c:v>
                </c:pt>
                <c:pt idx="8">
                  <c:v>64.691261786969136</c:v>
                </c:pt>
                <c:pt idx="9">
                  <c:v>44.235136802938271</c:v>
                </c:pt>
                <c:pt idx="10">
                  <c:v>2.2641254734247629</c:v>
                </c:pt>
                <c:pt idx="11">
                  <c:v>0.66436701371508278</c:v>
                </c:pt>
                <c:pt idx="12">
                  <c:v>32.423950740074353</c:v>
                </c:pt>
                <c:pt idx="13">
                  <c:v>102.73655078757872</c:v>
                </c:pt>
                <c:pt idx="14">
                  <c:v>204.80420910931593</c:v>
                </c:pt>
                <c:pt idx="15">
                  <c:v>237.55706573856</c:v>
                </c:pt>
                <c:pt idx="16">
                  <c:v>175.7571957364438</c:v>
                </c:pt>
                <c:pt idx="17">
                  <c:v>208.61073757016081</c:v>
                </c:pt>
                <c:pt idx="18">
                  <c:v>220.29871461661102</c:v>
                </c:pt>
                <c:pt idx="19">
                  <c:v>196.02433725084882</c:v>
                </c:pt>
                <c:pt idx="20">
                  <c:v>151.10263567241569</c:v>
                </c:pt>
                <c:pt idx="21">
                  <c:v>106.66911916058569</c:v>
                </c:pt>
                <c:pt idx="22">
                  <c:v>103.97090745482399</c:v>
                </c:pt>
                <c:pt idx="23">
                  <c:v>29.385811802132917</c:v>
                </c:pt>
                <c:pt idx="24">
                  <c:v>24.514721411902286</c:v>
                </c:pt>
                <c:pt idx="25">
                  <c:v>3.6934175058434167</c:v>
                </c:pt>
                <c:pt idx="26">
                  <c:v>0.84964104795692275</c:v>
                </c:pt>
                <c:pt idx="27">
                  <c:v>5.3187395552876824</c:v>
                </c:pt>
                <c:pt idx="28">
                  <c:v>53.482811428943933</c:v>
                </c:pt>
                <c:pt idx="29">
                  <c:v>96.367858676130496</c:v>
                </c:pt>
                <c:pt idx="30">
                  <c:v>107.49849484964061</c:v>
                </c:pt>
                <c:pt idx="31">
                  <c:v>178.36888148725478</c:v>
                </c:pt>
                <c:pt idx="32">
                  <c:v>108.55658871439344</c:v>
                </c:pt>
                <c:pt idx="33">
                  <c:v>119.76269600823868</c:v>
                </c:pt>
                <c:pt idx="34">
                  <c:v>49.544026910376168</c:v>
                </c:pt>
                <c:pt idx="35">
                  <c:v>71.164490812869403</c:v>
                </c:pt>
                <c:pt idx="36">
                  <c:v>237.71702100785609</c:v>
                </c:pt>
                <c:pt idx="37">
                  <c:v>200.79070910503384</c:v>
                </c:pt>
                <c:pt idx="38">
                  <c:v>103.25344142751321</c:v>
                </c:pt>
                <c:pt idx="39">
                  <c:v>54.274805827996055</c:v>
                </c:pt>
                <c:pt idx="40">
                  <c:v>126.17843372462542</c:v>
                </c:pt>
                <c:pt idx="41">
                  <c:v>183.5166398547359</c:v>
                </c:pt>
                <c:pt idx="42">
                  <c:v>62.453144572785909</c:v>
                </c:pt>
                <c:pt idx="43">
                  <c:v>21.491625148576791</c:v>
                </c:pt>
                <c:pt idx="44">
                  <c:v>101.40392740118247</c:v>
                </c:pt>
                <c:pt idx="45">
                  <c:v>48.912914168799588</c:v>
                </c:pt>
                <c:pt idx="46">
                  <c:v>26.29414008153995</c:v>
                </c:pt>
                <c:pt idx="47">
                  <c:v>13.986906587462958</c:v>
                </c:pt>
                <c:pt idx="48">
                  <c:v>6.6093107663104069</c:v>
                </c:pt>
                <c:pt idx="49">
                  <c:v>66.873198790799961</c:v>
                </c:pt>
                <c:pt idx="50">
                  <c:v>104.16341003840893</c:v>
                </c:pt>
                <c:pt idx="51">
                  <c:v>22.300308749535127</c:v>
                </c:pt>
                <c:pt idx="52">
                  <c:v>103.64538245317311</c:v>
                </c:pt>
                <c:pt idx="53">
                  <c:v>340.4039031959544</c:v>
                </c:pt>
                <c:pt idx="54">
                  <c:v>296.15934083374003</c:v>
                </c:pt>
                <c:pt idx="55">
                  <c:v>254.26178471989456</c:v>
                </c:pt>
                <c:pt idx="56">
                  <c:v>119.83003402878181</c:v>
                </c:pt>
                <c:pt idx="57">
                  <c:v>163.28540916167299</c:v>
                </c:pt>
                <c:pt idx="58">
                  <c:v>64.273463179527894</c:v>
                </c:pt>
                <c:pt idx="59">
                  <c:v>115.69159616287085</c:v>
                </c:pt>
                <c:pt idx="60">
                  <c:v>46.856461795761213</c:v>
                </c:pt>
                <c:pt idx="61">
                  <c:v>83.161992778950207</c:v>
                </c:pt>
                <c:pt idx="62">
                  <c:v>4.2859756301918317</c:v>
                </c:pt>
                <c:pt idx="63">
                  <c:v>14.411611586070197</c:v>
                </c:pt>
                <c:pt idx="64">
                  <c:v>30.613621270943863</c:v>
                </c:pt>
                <c:pt idx="65">
                  <c:v>60.71586643828951</c:v>
                </c:pt>
                <c:pt idx="66">
                  <c:v>24.915559122221335</c:v>
                </c:pt>
                <c:pt idx="67">
                  <c:v>155.18336036985414</c:v>
                </c:pt>
                <c:pt idx="68">
                  <c:v>80.503129450783291</c:v>
                </c:pt>
                <c:pt idx="69">
                  <c:v>31.303228671191434</c:v>
                </c:pt>
                <c:pt idx="70">
                  <c:v>77.293247428997276</c:v>
                </c:pt>
                <c:pt idx="71">
                  <c:v>168.93707787715752</c:v>
                </c:pt>
                <c:pt idx="72">
                  <c:v>56.071600624186814</c:v>
                </c:pt>
                <c:pt idx="73">
                  <c:v>39.606658828393584</c:v>
                </c:pt>
                <c:pt idx="74">
                  <c:v>53.36884162900094</c:v>
                </c:pt>
                <c:pt idx="75">
                  <c:v>7.0183383922218718</c:v>
                </c:pt>
                <c:pt idx="76">
                  <c:v>22.139495510941558</c:v>
                </c:pt>
                <c:pt idx="77">
                  <c:v>7.6402603465171719</c:v>
                </c:pt>
                <c:pt idx="78">
                  <c:v>28.185117640549372</c:v>
                </c:pt>
                <c:pt idx="79">
                  <c:v>140.90300419157123</c:v>
                </c:pt>
                <c:pt idx="80">
                  <c:v>122.98432574245962</c:v>
                </c:pt>
                <c:pt idx="81">
                  <c:v>68.986353941036199</c:v>
                </c:pt>
                <c:pt idx="82">
                  <c:v>100.07559111852733</c:v>
                </c:pt>
                <c:pt idx="83">
                  <c:v>52.63371182869507</c:v>
                </c:pt>
                <c:pt idx="84">
                  <c:v>88.810451167805425</c:v>
                </c:pt>
                <c:pt idx="85">
                  <c:v>28.47813735917978</c:v>
                </c:pt>
                <c:pt idx="86">
                  <c:v>32.439093797402151</c:v>
                </c:pt>
                <c:pt idx="87">
                  <c:v>40.420899575302521</c:v>
                </c:pt>
                <c:pt idx="88">
                  <c:v>48.264760819744879</c:v>
                </c:pt>
                <c:pt idx="89">
                  <c:v>70.384484492321491</c:v>
                </c:pt>
                <c:pt idx="90">
                  <c:v>87.202798855642115</c:v>
                </c:pt>
              </c:numCache>
            </c:numRef>
          </c:val>
          <c:smooth val="0"/>
          <c:extLst xmlns:c16r2="http://schemas.microsoft.com/office/drawing/2015/06/chart">
            <c:ext xmlns:c16="http://schemas.microsoft.com/office/drawing/2014/chart" uri="{C3380CC4-5D6E-409C-BE32-E72D297353CC}">
              <c16:uniqueId val="{00000000-6178-4DAB-8E38-A52087A73258}"/>
            </c:ext>
          </c:extLst>
        </c:ser>
        <c:dLbls>
          <c:showLegendKey val="0"/>
          <c:showVal val="0"/>
          <c:showCatName val="0"/>
          <c:showSerName val="0"/>
          <c:showPercent val="0"/>
          <c:showBubbleSize val="0"/>
        </c:dLbls>
        <c:marker val="1"/>
        <c:smooth val="0"/>
        <c:axId val="1183557520"/>
        <c:axId val="1183564048"/>
      </c:lineChart>
      <c:dateAx>
        <c:axId val="1183557520"/>
        <c:scaling>
          <c:orientation val="minMax"/>
        </c:scaling>
        <c:delete val="0"/>
        <c:axPos val="b"/>
        <c:majorGridlines>
          <c:spPr>
            <a:ln w="9525" cap="flat" cmpd="sng" algn="ctr">
              <a:solidFill>
                <a:schemeClr val="tx1">
                  <a:lumMod val="50000"/>
                  <a:lumOff val="50000"/>
                </a:schemeClr>
              </a:solidFill>
              <a:round/>
            </a:ln>
            <a:effectLst/>
          </c:spPr>
        </c:majorGridlines>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de-DE"/>
          </a:p>
        </c:txPr>
        <c:crossAx val="1183564048"/>
        <c:crosses val="autoZero"/>
        <c:auto val="1"/>
        <c:lblOffset val="100"/>
        <c:baseTimeUnit val="days"/>
        <c:majorUnit val="3"/>
        <c:majorTimeUnit val="days"/>
      </c:dateAx>
      <c:valAx>
        <c:axId val="1183564048"/>
        <c:scaling>
          <c:orientation val="minMax"/>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de-DE"/>
                  <a:t>Ertrag in Prozent</a:t>
                </a:r>
              </a:p>
            </c:rich>
          </c:tx>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de-DE"/>
          </a:p>
        </c:txPr>
        <c:crossAx val="118355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de-DE"/>
              <a:t>Ertrag aus Photovoltaik im Vergleich zum Mittel 2010-2019</a:t>
            </a:r>
          </a:p>
        </c:rich>
      </c:tx>
      <c:layout/>
      <c:overlay val="0"/>
      <c:spPr>
        <a:noFill/>
        <a:ln>
          <a:noFill/>
        </a:ln>
        <a:effectLst/>
      </c:spPr>
      <c:txPr>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lineChart>
        <c:grouping val="standard"/>
        <c:varyColors val="0"/>
        <c:ser>
          <c:idx val="1"/>
          <c:order val="0"/>
          <c:tx>
            <c:strRef>
              <c:f>Winter!$G$2</c:f>
              <c:strCache>
                <c:ptCount val="1"/>
                <c:pt idx="0">
                  <c:v>Solar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Winter!$B$3:$B$94</c:f>
              <c:numCache>
                <c:formatCode>d\-mmm</c:formatCode>
                <c:ptCount val="92"/>
                <c:pt idx="0">
                  <c:v>45992</c:v>
                </c:pt>
                <c:pt idx="1">
                  <c:v>45993</c:v>
                </c:pt>
                <c:pt idx="2">
                  <c:v>45994</c:v>
                </c:pt>
                <c:pt idx="3">
                  <c:v>45995</c:v>
                </c:pt>
                <c:pt idx="4">
                  <c:v>45996</c:v>
                </c:pt>
                <c:pt idx="5">
                  <c:v>45997</c:v>
                </c:pt>
                <c:pt idx="6">
                  <c:v>45998</c:v>
                </c:pt>
                <c:pt idx="7">
                  <c:v>45999</c:v>
                </c:pt>
                <c:pt idx="8">
                  <c:v>46000</c:v>
                </c:pt>
                <c:pt idx="9">
                  <c:v>46001</c:v>
                </c:pt>
                <c:pt idx="10">
                  <c:v>46002</c:v>
                </c:pt>
                <c:pt idx="11">
                  <c:v>46003</c:v>
                </c:pt>
                <c:pt idx="12">
                  <c:v>46004</c:v>
                </c:pt>
                <c:pt idx="13">
                  <c:v>46005</c:v>
                </c:pt>
                <c:pt idx="14">
                  <c:v>46006</c:v>
                </c:pt>
                <c:pt idx="15">
                  <c:v>46007</c:v>
                </c:pt>
                <c:pt idx="16">
                  <c:v>46008</c:v>
                </c:pt>
                <c:pt idx="17">
                  <c:v>46009</c:v>
                </c:pt>
                <c:pt idx="18">
                  <c:v>46010</c:v>
                </c:pt>
                <c:pt idx="19">
                  <c:v>46011</c:v>
                </c:pt>
                <c:pt idx="20">
                  <c:v>46012</c:v>
                </c:pt>
                <c:pt idx="21">
                  <c:v>46013</c:v>
                </c:pt>
                <c:pt idx="22">
                  <c:v>46014</c:v>
                </c:pt>
                <c:pt idx="23">
                  <c:v>46015</c:v>
                </c:pt>
                <c:pt idx="24">
                  <c:v>46016</c:v>
                </c:pt>
                <c:pt idx="25">
                  <c:v>46017</c:v>
                </c:pt>
                <c:pt idx="26">
                  <c:v>46018</c:v>
                </c:pt>
                <c:pt idx="27">
                  <c:v>46019</c:v>
                </c:pt>
                <c:pt idx="28">
                  <c:v>46020</c:v>
                </c:pt>
                <c:pt idx="29">
                  <c:v>46021</c:v>
                </c:pt>
                <c:pt idx="30">
                  <c:v>46022</c:v>
                </c:pt>
                <c:pt idx="31">
                  <c:v>46023</c:v>
                </c:pt>
                <c:pt idx="32">
                  <c:v>46024</c:v>
                </c:pt>
                <c:pt idx="33">
                  <c:v>46025</c:v>
                </c:pt>
                <c:pt idx="34">
                  <c:v>46026</c:v>
                </c:pt>
                <c:pt idx="35">
                  <c:v>46027</c:v>
                </c:pt>
                <c:pt idx="36">
                  <c:v>46028</c:v>
                </c:pt>
                <c:pt idx="37">
                  <c:v>46029</c:v>
                </c:pt>
                <c:pt idx="38">
                  <c:v>46030</c:v>
                </c:pt>
                <c:pt idx="39">
                  <c:v>46031</c:v>
                </c:pt>
                <c:pt idx="40">
                  <c:v>46032</c:v>
                </c:pt>
                <c:pt idx="41">
                  <c:v>46033</c:v>
                </c:pt>
                <c:pt idx="42">
                  <c:v>46034</c:v>
                </c:pt>
                <c:pt idx="43">
                  <c:v>46035</c:v>
                </c:pt>
                <c:pt idx="44">
                  <c:v>46036</c:v>
                </c:pt>
                <c:pt idx="45">
                  <c:v>46037</c:v>
                </c:pt>
                <c:pt idx="46">
                  <c:v>46038</c:v>
                </c:pt>
                <c:pt idx="47">
                  <c:v>46039</c:v>
                </c:pt>
                <c:pt idx="48">
                  <c:v>46040</c:v>
                </c:pt>
                <c:pt idx="49">
                  <c:v>46041</c:v>
                </c:pt>
                <c:pt idx="50">
                  <c:v>46042</c:v>
                </c:pt>
                <c:pt idx="51">
                  <c:v>46043</c:v>
                </c:pt>
                <c:pt idx="52">
                  <c:v>46044</c:v>
                </c:pt>
                <c:pt idx="53">
                  <c:v>46045</c:v>
                </c:pt>
                <c:pt idx="54">
                  <c:v>46046</c:v>
                </c:pt>
                <c:pt idx="55">
                  <c:v>46047</c:v>
                </c:pt>
                <c:pt idx="56">
                  <c:v>46048</c:v>
                </c:pt>
                <c:pt idx="57">
                  <c:v>46049</c:v>
                </c:pt>
                <c:pt idx="58">
                  <c:v>46050</c:v>
                </c:pt>
                <c:pt idx="59">
                  <c:v>46051</c:v>
                </c:pt>
                <c:pt idx="60">
                  <c:v>46052</c:v>
                </c:pt>
                <c:pt idx="61">
                  <c:v>46053</c:v>
                </c:pt>
                <c:pt idx="62">
                  <c:v>46054</c:v>
                </c:pt>
                <c:pt idx="63">
                  <c:v>46055</c:v>
                </c:pt>
                <c:pt idx="64">
                  <c:v>46056</c:v>
                </c:pt>
                <c:pt idx="65">
                  <c:v>46057</c:v>
                </c:pt>
                <c:pt idx="66">
                  <c:v>46058</c:v>
                </c:pt>
                <c:pt idx="67">
                  <c:v>46059</c:v>
                </c:pt>
                <c:pt idx="68">
                  <c:v>46060</c:v>
                </c:pt>
                <c:pt idx="69">
                  <c:v>46061</c:v>
                </c:pt>
                <c:pt idx="70">
                  <c:v>46062</c:v>
                </c:pt>
                <c:pt idx="71">
                  <c:v>46063</c:v>
                </c:pt>
                <c:pt idx="72">
                  <c:v>46064</c:v>
                </c:pt>
                <c:pt idx="73">
                  <c:v>46065</c:v>
                </c:pt>
                <c:pt idx="74">
                  <c:v>46066</c:v>
                </c:pt>
                <c:pt idx="75">
                  <c:v>46067</c:v>
                </c:pt>
                <c:pt idx="76">
                  <c:v>46068</c:v>
                </c:pt>
                <c:pt idx="77">
                  <c:v>46069</c:v>
                </c:pt>
                <c:pt idx="78">
                  <c:v>46070</c:v>
                </c:pt>
                <c:pt idx="79">
                  <c:v>46071</c:v>
                </c:pt>
                <c:pt idx="80">
                  <c:v>46072</c:v>
                </c:pt>
                <c:pt idx="81">
                  <c:v>46073</c:v>
                </c:pt>
                <c:pt idx="82">
                  <c:v>46074</c:v>
                </c:pt>
                <c:pt idx="83">
                  <c:v>46075</c:v>
                </c:pt>
                <c:pt idx="84">
                  <c:v>46076</c:v>
                </c:pt>
                <c:pt idx="85">
                  <c:v>46077</c:v>
                </c:pt>
                <c:pt idx="86">
                  <c:v>46078</c:v>
                </c:pt>
                <c:pt idx="87">
                  <c:v>46079</c:v>
                </c:pt>
                <c:pt idx="88">
                  <c:v>46080</c:v>
                </c:pt>
                <c:pt idx="89">
                  <c:v>46081</c:v>
                </c:pt>
              </c:numCache>
            </c:numRef>
          </c:cat>
          <c:val>
            <c:numRef>
              <c:f>Winter!$I$3:$I$94</c:f>
              <c:numCache>
                <c:formatCode>General</c:formatCode>
                <c:ptCount val="92"/>
                <c:pt idx="0">
                  <c:v>217.77015218071219</c:v>
                </c:pt>
                <c:pt idx="1">
                  <c:v>68.121916428474066</c:v>
                </c:pt>
                <c:pt idx="2">
                  <c:v>47.320719206403822</c:v>
                </c:pt>
                <c:pt idx="3">
                  <c:v>39.679507538217692</c:v>
                </c:pt>
                <c:pt idx="4">
                  <c:v>94.169760471650051</c:v>
                </c:pt>
                <c:pt idx="5">
                  <c:v>36.949935711934735</c:v>
                </c:pt>
                <c:pt idx="6">
                  <c:v>47.933520337632373</c:v>
                </c:pt>
                <c:pt idx="7">
                  <c:v>39.323582227213073</c:v>
                </c:pt>
                <c:pt idx="8">
                  <c:v>19.125640904352981</c:v>
                </c:pt>
                <c:pt idx="9">
                  <c:v>16.106804580875949</c:v>
                </c:pt>
                <c:pt idx="10">
                  <c:v>29.263001396366846</c:v>
                </c:pt>
                <c:pt idx="11">
                  <c:v>31.630519603096452</c:v>
                </c:pt>
                <c:pt idx="12">
                  <c:v>75.819683631223697</c:v>
                </c:pt>
                <c:pt idx="13">
                  <c:v>25.117366694815168</c:v>
                </c:pt>
                <c:pt idx="14">
                  <c:v>69.660022553905804</c:v>
                </c:pt>
                <c:pt idx="15">
                  <c:v>26.246149820448185</c:v>
                </c:pt>
                <c:pt idx="16">
                  <c:v>53.933409663064168</c:v>
                </c:pt>
                <c:pt idx="17">
                  <c:v>72.914447388351221</c:v>
                </c:pt>
                <c:pt idx="18">
                  <c:v>64.972707617832341</c:v>
                </c:pt>
                <c:pt idx="19">
                  <c:v>103.84630235843184</c:v>
                </c:pt>
                <c:pt idx="20">
                  <c:v>50.78022672083037</c:v>
                </c:pt>
                <c:pt idx="21">
                  <c:v>82.653253295855592</c:v>
                </c:pt>
                <c:pt idx="22">
                  <c:v>82.850646099725765</c:v>
                </c:pt>
                <c:pt idx="23">
                  <c:v>112.10133922570529</c:v>
                </c:pt>
                <c:pt idx="24">
                  <c:v>140.61798743232288</c:v>
                </c:pt>
                <c:pt idx="25">
                  <c:v>50.780456731654922</c:v>
                </c:pt>
                <c:pt idx="26">
                  <c:v>71.699677944421893</c:v>
                </c:pt>
                <c:pt idx="27">
                  <c:v>106.46391652194743</c:v>
                </c:pt>
                <c:pt idx="28">
                  <c:v>96.120340119447761</c:v>
                </c:pt>
                <c:pt idx="29">
                  <c:v>48.725943160047976</c:v>
                </c:pt>
                <c:pt idx="30">
                  <c:v>101.01790528658474</c:v>
                </c:pt>
                <c:pt idx="31">
                  <c:v>71.152413860086654</c:v>
                </c:pt>
                <c:pt idx="32">
                  <c:v>131.89314340674966</c:v>
                </c:pt>
                <c:pt idx="33">
                  <c:v>86.814699207392238</c:v>
                </c:pt>
                <c:pt idx="34">
                  <c:v>51.35188618697638</c:v>
                </c:pt>
                <c:pt idx="35">
                  <c:v>35.011793898468028</c:v>
                </c:pt>
                <c:pt idx="36">
                  <c:v>74.871273324133753</c:v>
                </c:pt>
                <c:pt idx="37">
                  <c:v>154.35251629860659</c:v>
                </c:pt>
                <c:pt idx="38">
                  <c:v>129.88644082817942</c:v>
                </c:pt>
                <c:pt idx="39">
                  <c:v>64.023933652322796</c:v>
                </c:pt>
                <c:pt idx="40">
                  <c:v>27.086303830707791</c:v>
                </c:pt>
                <c:pt idx="41">
                  <c:v>89.961277646980307</c:v>
                </c:pt>
                <c:pt idx="42">
                  <c:v>111.57058288544613</c:v>
                </c:pt>
                <c:pt idx="43">
                  <c:v>178.94419878625322</c:v>
                </c:pt>
                <c:pt idx="44">
                  <c:v>56.880034664222492</c:v>
                </c:pt>
                <c:pt idx="45">
                  <c:v>44.051571855420519</c:v>
                </c:pt>
                <c:pt idx="46">
                  <c:v>52.527076068969855</c:v>
                </c:pt>
                <c:pt idx="47">
                  <c:v>113.46005003973887</c:v>
                </c:pt>
                <c:pt idx="48">
                  <c:v>101.08095484384773</c:v>
                </c:pt>
                <c:pt idx="49">
                  <c:v>242.66684516098803</c:v>
                </c:pt>
                <c:pt idx="50">
                  <c:v>260.85239184601193</c:v>
                </c:pt>
                <c:pt idx="51">
                  <c:v>143.46024945436361</c:v>
                </c:pt>
                <c:pt idx="52">
                  <c:v>148.25989554396364</c:v>
                </c:pt>
                <c:pt idx="53">
                  <c:v>70.879636741478322</c:v>
                </c:pt>
                <c:pt idx="54">
                  <c:v>183.51669483677983</c:v>
                </c:pt>
                <c:pt idx="55">
                  <c:v>129.56701241364789</c:v>
                </c:pt>
                <c:pt idx="56">
                  <c:v>69.185572877429351</c:v>
                </c:pt>
                <c:pt idx="57">
                  <c:v>64.906604366842544</c:v>
                </c:pt>
                <c:pt idx="58">
                  <c:v>37.531715400523915</c:v>
                </c:pt>
                <c:pt idx="59">
                  <c:v>70.169106604875964</c:v>
                </c:pt>
                <c:pt idx="60">
                  <c:v>84.31867720804243</c:v>
                </c:pt>
                <c:pt idx="61">
                  <c:v>107.20813638097013</c:v>
                </c:pt>
                <c:pt idx="62">
                  <c:v>124.24913800359865</c:v>
                </c:pt>
                <c:pt idx="63">
                  <c:v>245.9177174951065</c:v>
                </c:pt>
                <c:pt idx="64">
                  <c:v>271.791283633202</c:v>
                </c:pt>
                <c:pt idx="65">
                  <c:v>47.830910616833108</c:v>
                </c:pt>
                <c:pt idx="66">
                  <c:v>39.156501291088837</c:v>
                </c:pt>
                <c:pt idx="67">
                  <c:v>52.948421231731182</c:v>
                </c:pt>
                <c:pt idx="68">
                  <c:v>153.96334345050371</c:v>
                </c:pt>
                <c:pt idx="69">
                  <c:v>135.94028097162848</c:v>
                </c:pt>
                <c:pt idx="70">
                  <c:v>81.624374768520809</c:v>
                </c:pt>
                <c:pt idx="71">
                  <c:v>128.59694712363313</c:v>
                </c:pt>
                <c:pt idx="72">
                  <c:v>106.20011992079836</c:v>
                </c:pt>
                <c:pt idx="73">
                  <c:v>14.227165155014346</c:v>
                </c:pt>
                <c:pt idx="74">
                  <c:v>16.325877726885164</c:v>
                </c:pt>
                <c:pt idx="75">
                  <c:v>31.520977556195096</c:v>
                </c:pt>
                <c:pt idx="76">
                  <c:v>72.779000138694443</c:v>
                </c:pt>
                <c:pt idx="77">
                  <c:v>102.04839787651332</c:v>
                </c:pt>
                <c:pt idx="78">
                  <c:v>149.49100727714122</c:v>
                </c:pt>
                <c:pt idx="79">
                  <c:v>190.1192986914325</c:v>
                </c:pt>
                <c:pt idx="80">
                  <c:v>154.97069534741877</c:v>
                </c:pt>
                <c:pt idx="81">
                  <c:v>84.922688832555565</c:v>
                </c:pt>
                <c:pt idx="82">
                  <c:v>146.89291099670368</c:v>
                </c:pt>
                <c:pt idx="83">
                  <c:v>77.859558552302843</c:v>
                </c:pt>
                <c:pt idx="84">
                  <c:v>107.72920723944712</c:v>
                </c:pt>
                <c:pt idx="85">
                  <c:v>66.824898522784451</c:v>
                </c:pt>
                <c:pt idx="86">
                  <c:v>27.471768272811008</c:v>
                </c:pt>
                <c:pt idx="87">
                  <c:v>61.76165535689038</c:v>
                </c:pt>
                <c:pt idx="88">
                  <c:v>41.725500506255976</c:v>
                </c:pt>
                <c:pt idx="89">
                  <c:v>136.07295883576549</c:v>
                </c:pt>
                <c:pt idx="90">
                  <c:v>90.912468204060261</c:v>
                </c:pt>
              </c:numCache>
            </c:numRef>
          </c:val>
          <c:smooth val="0"/>
          <c:extLst xmlns:c16r2="http://schemas.microsoft.com/office/drawing/2015/06/chart">
            <c:ext xmlns:c16="http://schemas.microsoft.com/office/drawing/2014/chart" uri="{C3380CC4-5D6E-409C-BE32-E72D297353CC}">
              <c16:uniqueId val="{00000001-6178-4DAB-8E38-A52087A73258}"/>
            </c:ext>
          </c:extLst>
        </c:ser>
        <c:dLbls>
          <c:showLegendKey val="0"/>
          <c:showVal val="0"/>
          <c:showCatName val="0"/>
          <c:showSerName val="0"/>
          <c:showPercent val="0"/>
          <c:showBubbleSize val="0"/>
        </c:dLbls>
        <c:marker val="1"/>
        <c:smooth val="0"/>
        <c:axId val="1183561872"/>
        <c:axId val="1183564592"/>
      </c:lineChart>
      <c:dateAx>
        <c:axId val="1183561872"/>
        <c:scaling>
          <c:orientation val="minMax"/>
        </c:scaling>
        <c:delete val="0"/>
        <c:axPos val="b"/>
        <c:majorGridlines>
          <c:spPr>
            <a:ln w="9525" cap="flat" cmpd="sng" algn="ctr">
              <a:solidFill>
                <a:schemeClr val="tx1">
                  <a:lumMod val="50000"/>
                  <a:lumOff val="50000"/>
                </a:schemeClr>
              </a:solidFill>
              <a:round/>
            </a:ln>
            <a:effectLst/>
          </c:spPr>
        </c:majorGridlines>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de-DE"/>
          </a:p>
        </c:txPr>
        <c:crossAx val="1183564592"/>
        <c:crosses val="autoZero"/>
        <c:auto val="1"/>
        <c:lblOffset val="100"/>
        <c:baseTimeUnit val="days"/>
        <c:majorUnit val="3"/>
        <c:majorTimeUnit val="days"/>
      </c:dateAx>
      <c:valAx>
        <c:axId val="1183564592"/>
        <c:scaling>
          <c:orientation val="minMax"/>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de-DE"/>
                  <a:t>Ertrag in Prozent</a:t>
                </a:r>
              </a:p>
            </c:rich>
          </c:tx>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de-DE"/>
          </a:p>
        </c:txPr>
        <c:crossAx val="118356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77C3-A62E-4EBB-B73F-36FCBA7C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10133</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Geißler, Christoph</dc:creator>
  <cp:keywords/>
  <dc:description/>
  <cp:lastModifiedBy>Geißler, Christoph</cp:lastModifiedBy>
  <cp:revision>2</cp:revision>
  <dcterms:created xsi:type="dcterms:W3CDTF">2025-03-20T15:33:00Z</dcterms:created>
  <dcterms:modified xsi:type="dcterms:W3CDTF">2025-03-20T15:33:00Z</dcterms:modified>
</cp:coreProperties>
</file>